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0B" w:rsidRPr="005D199F" w:rsidRDefault="0078600B" w:rsidP="005A3C0F">
      <w:pPr>
        <w:jc w:val="center"/>
        <w:rPr>
          <w:rFonts w:ascii="Arial" w:hAnsi="Arial" w:cs="David"/>
          <w:b/>
          <w:bCs/>
          <w:sz w:val="26"/>
          <w:szCs w:val="26"/>
          <w:u w:val="single"/>
          <w:rtl/>
        </w:rPr>
      </w:pPr>
      <w:r w:rsidRPr="005D199F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הודעה על פתיחת מסלולי השקעה המותאמים לגיל החוסך </w:t>
      </w:r>
    </w:p>
    <w:p w:rsidR="000C2792" w:rsidRDefault="000C2792" w:rsidP="006A6025">
      <w:pPr>
        <w:spacing w:line="360" w:lineRule="auto"/>
        <w:rPr>
          <w:rFonts w:ascii="Arial" w:hAnsi="Arial" w:cs="David"/>
          <w:sz w:val="22"/>
          <w:szCs w:val="22"/>
          <w:rtl/>
        </w:rPr>
      </w:pPr>
    </w:p>
    <w:p w:rsidR="006130FB" w:rsidRPr="00CE0250" w:rsidRDefault="006130FB" w:rsidP="006A6025">
      <w:pPr>
        <w:spacing w:line="360" w:lineRule="auto"/>
        <w:rPr>
          <w:rFonts w:ascii="Arial" w:hAnsi="Arial" w:cs="David"/>
          <w:sz w:val="22"/>
          <w:szCs w:val="22"/>
          <w:rtl/>
        </w:rPr>
      </w:pPr>
    </w:p>
    <w:p w:rsidR="00CE0250" w:rsidRDefault="0078600B" w:rsidP="00E402D7">
      <w:pPr>
        <w:spacing w:line="360" w:lineRule="auto"/>
        <w:jc w:val="both"/>
        <w:rPr>
          <w:rFonts w:ascii="Arial" w:hAnsi="Arial" w:cs="David"/>
          <w:b/>
          <w:bCs/>
          <w:sz w:val="22"/>
          <w:szCs w:val="22"/>
          <w:rtl/>
        </w:rPr>
      </w:pP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בהתאם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לדרישות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אגף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שוק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ההון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,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ביטוח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וחיסכון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,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במשרד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6130FB">
        <w:rPr>
          <w:rFonts w:ascii="Arial" w:hAnsi="Arial" w:cs="David" w:hint="eastAsia"/>
          <w:b/>
          <w:bCs/>
          <w:sz w:val="22"/>
          <w:szCs w:val="22"/>
          <w:rtl/>
        </w:rPr>
        <w:t>האוצר</w:t>
      </w:r>
      <w:r w:rsidR="008C314B" w:rsidRPr="006130FB">
        <w:rPr>
          <w:rFonts w:ascii="Arial" w:hAnsi="Arial" w:cs="David" w:hint="cs"/>
          <w:b/>
          <w:bCs/>
          <w:sz w:val="22"/>
          <w:szCs w:val="22"/>
          <w:rtl/>
        </w:rPr>
        <w:t xml:space="preserve"> לכלל קופות הגמל בישראל</w:t>
      </w:r>
      <w:r w:rsidRPr="006130FB">
        <w:rPr>
          <w:rFonts w:ascii="Arial" w:hAnsi="Arial" w:cs="David"/>
          <w:b/>
          <w:bCs/>
          <w:sz w:val="22"/>
          <w:szCs w:val="22"/>
          <w:rtl/>
        </w:rPr>
        <w:t>,</w:t>
      </w:r>
      <w:r w:rsidRPr="006130FB">
        <w:rPr>
          <w:rFonts w:ascii="Arial" w:hAnsi="Arial" w:cs="David" w:hint="cs"/>
          <w:b/>
          <w:bCs/>
          <w:sz w:val="22"/>
          <w:szCs w:val="22"/>
          <w:rtl/>
        </w:rPr>
        <w:t xml:space="preserve"> החל מיום 1</w:t>
      </w:r>
      <w:r>
        <w:rPr>
          <w:rFonts w:ascii="Arial" w:hAnsi="Arial" w:cs="David" w:hint="cs"/>
          <w:b/>
          <w:bCs/>
          <w:sz w:val="22"/>
          <w:szCs w:val="22"/>
          <w:rtl/>
        </w:rPr>
        <w:t xml:space="preserve"> בינואר 2016 יפעלו בקופ</w:t>
      </w:r>
      <w:r w:rsidR="00E402D7">
        <w:rPr>
          <w:rFonts w:ascii="Arial" w:hAnsi="Arial" w:cs="David" w:hint="cs"/>
          <w:b/>
          <w:bCs/>
          <w:sz w:val="22"/>
          <w:szCs w:val="22"/>
          <w:rtl/>
        </w:rPr>
        <w:t>ת גמל עו"ס</w:t>
      </w:r>
      <w:r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Pr="005D199F">
        <w:rPr>
          <w:rFonts w:ascii="Arial" w:hAnsi="Arial" w:cs="David" w:hint="cs"/>
          <w:b/>
          <w:bCs/>
          <w:sz w:val="22"/>
          <w:szCs w:val="22"/>
          <w:rtl/>
        </w:rPr>
        <w:t>שלושה מסלולי השקעה המותאמים לגיל העמיתים:</w:t>
      </w:r>
    </w:p>
    <w:p w:rsidR="00083BCB" w:rsidRPr="005D199F" w:rsidRDefault="00083BCB" w:rsidP="00E402D7">
      <w:pPr>
        <w:spacing w:line="360" w:lineRule="auto"/>
        <w:jc w:val="both"/>
        <w:rPr>
          <w:rFonts w:ascii="Arial" w:hAnsi="Arial" w:cs="David"/>
          <w:b/>
          <w:bCs/>
          <w:sz w:val="22"/>
          <w:szCs w:val="22"/>
          <w:rtl/>
        </w:rPr>
      </w:pPr>
    </w:p>
    <w:p w:rsidR="0078600B" w:rsidRPr="00C87FD3" w:rsidRDefault="0078600B" w:rsidP="00332371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מסלול אחד </w:t>
      </w:r>
      <w:r w:rsidRPr="00C87FD3">
        <w:rPr>
          <w:rFonts w:ascii="Arial" w:hAnsi="Arial" w:cs="David"/>
          <w:b/>
          <w:bCs/>
          <w:sz w:val="22"/>
          <w:szCs w:val="22"/>
          <w:rtl/>
        </w:rPr>
        <w:t>–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עו</w:t>
      </w:r>
      <w:r w:rsidR="00C75CB6">
        <w:rPr>
          <w:rFonts w:ascii="Arial" w:hAnsi="Arial" w:cs="David"/>
          <w:b/>
          <w:bCs/>
          <w:sz w:val="22"/>
          <w:szCs w:val="22"/>
          <w:rtl/>
        </w:rPr>
        <w:t>"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ס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גמל </w:t>
      </w:r>
      <w:r w:rsidR="005B1C0B">
        <w:rPr>
          <w:rFonts w:ascii="Arial" w:hAnsi="Arial" w:cs="David" w:hint="cs"/>
          <w:b/>
          <w:bCs/>
          <w:sz w:val="22"/>
          <w:szCs w:val="22"/>
          <w:rtl/>
        </w:rPr>
        <w:t xml:space="preserve">לבני 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50 </w:t>
      </w:r>
      <w:r w:rsidR="005B1C0B">
        <w:rPr>
          <w:rFonts w:ascii="Arial" w:hAnsi="Arial" w:cs="David" w:hint="cs"/>
          <w:b/>
          <w:bCs/>
          <w:sz w:val="22"/>
          <w:szCs w:val="22"/>
          <w:rtl/>
        </w:rPr>
        <w:t>ומטה</w:t>
      </w:r>
      <w:r w:rsidR="009803EE">
        <w:rPr>
          <w:rFonts w:ascii="Arial" w:hAnsi="Arial" w:cs="David" w:hint="cs"/>
          <w:sz w:val="22"/>
          <w:szCs w:val="22"/>
          <w:rtl/>
        </w:rPr>
        <w:t xml:space="preserve"> </w:t>
      </w:r>
      <w:r w:rsidRPr="00C87FD3">
        <w:rPr>
          <w:rFonts w:ascii="Arial" w:hAnsi="Arial" w:cs="David"/>
          <w:sz w:val="22"/>
          <w:szCs w:val="22"/>
          <w:rtl/>
        </w:rPr>
        <w:t>–</w:t>
      </w:r>
      <w:r w:rsidRPr="00C87FD3">
        <w:rPr>
          <w:rFonts w:ascii="Arial" w:hAnsi="Arial" w:cs="David" w:hint="cs"/>
          <w:sz w:val="22"/>
          <w:szCs w:val="22"/>
          <w:rtl/>
        </w:rPr>
        <w:t xml:space="preserve"> מסלול שמדיניות ההשקעה בו מותאמת לעמיתים אשר גילם אינו עולה על 50;</w:t>
      </w:r>
    </w:p>
    <w:p w:rsidR="0078600B" w:rsidRPr="00C87FD3" w:rsidRDefault="0078600B" w:rsidP="00EB3625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מסלול שני </w:t>
      </w:r>
      <w:r w:rsidRPr="00C87FD3">
        <w:rPr>
          <w:rFonts w:ascii="Arial" w:hAnsi="Arial" w:cs="David"/>
          <w:b/>
          <w:bCs/>
          <w:sz w:val="22"/>
          <w:szCs w:val="22"/>
          <w:rtl/>
        </w:rPr>
        <w:t>–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עו</w:t>
      </w:r>
      <w:r w:rsidR="00C75CB6">
        <w:rPr>
          <w:rFonts w:ascii="Arial" w:hAnsi="Arial" w:cs="David"/>
          <w:b/>
          <w:bCs/>
          <w:sz w:val="22"/>
          <w:szCs w:val="22"/>
          <w:rtl/>
        </w:rPr>
        <w:t>"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ס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גמל </w:t>
      </w:r>
      <w:r w:rsidR="004448C0">
        <w:rPr>
          <w:rFonts w:ascii="Arial" w:hAnsi="Arial" w:cs="David" w:hint="cs"/>
          <w:b/>
          <w:bCs/>
          <w:sz w:val="22"/>
          <w:szCs w:val="22"/>
          <w:rtl/>
        </w:rPr>
        <w:t>לבני</w:t>
      </w:r>
      <w:r w:rsidR="004448C0"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50 עד 60 </w:t>
      </w:r>
      <w:r w:rsidRPr="00C87FD3">
        <w:rPr>
          <w:rFonts w:ascii="Arial" w:hAnsi="Arial" w:cs="David"/>
          <w:sz w:val="22"/>
          <w:szCs w:val="22"/>
          <w:rtl/>
        </w:rPr>
        <w:t>–</w:t>
      </w:r>
      <w:r w:rsidRPr="00C87FD3">
        <w:rPr>
          <w:rFonts w:ascii="Arial" w:hAnsi="Arial" w:cs="David" w:hint="cs"/>
          <w:sz w:val="22"/>
          <w:szCs w:val="22"/>
          <w:rtl/>
        </w:rPr>
        <w:t xml:space="preserve"> מסלול שמדיניות ההשקעה בו מותאמת לעמיתים אשר גילם לפחות 50 ואינו עולה על 60;</w:t>
      </w:r>
    </w:p>
    <w:p w:rsidR="0078600B" w:rsidRPr="00C87FD3" w:rsidRDefault="0078600B" w:rsidP="00EB3625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מסלול שלישי </w:t>
      </w:r>
      <w:r w:rsidRPr="00C87FD3">
        <w:rPr>
          <w:rFonts w:ascii="Arial" w:hAnsi="Arial" w:cs="David"/>
          <w:b/>
          <w:bCs/>
          <w:sz w:val="22"/>
          <w:szCs w:val="22"/>
          <w:rtl/>
        </w:rPr>
        <w:t>–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עו</w:t>
      </w:r>
      <w:r w:rsidR="00C75CB6">
        <w:rPr>
          <w:rFonts w:ascii="Arial" w:hAnsi="Arial" w:cs="David"/>
          <w:b/>
          <w:bCs/>
          <w:sz w:val="22"/>
          <w:szCs w:val="22"/>
          <w:rtl/>
        </w:rPr>
        <w:t>"</w:t>
      </w:r>
      <w:r w:rsidR="00C75CB6">
        <w:rPr>
          <w:rFonts w:ascii="Arial" w:hAnsi="Arial" w:cs="David" w:hint="cs"/>
          <w:b/>
          <w:bCs/>
          <w:sz w:val="22"/>
          <w:szCs w:val="22"/>
          <w:rtl/>
        </w:rPr>
        <w:t>ס</w:t>
      </w:r>
      <w:r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גמל גיל 60 </w:t>
      </w:r>
      <w:r w:rsidR="00C7215B">
        <w:rPr>
          <w:rFonts w:ascii="Arial" w:hAnsi="Arial" w:cs="David" w:hint="cs"/>
          <w:b/>
          <w:bCs/>
          <w:sz w:val="22"/>
          <w:szCs w:val="22"/>
          <w:rtl/>
        </w:rPr>
        <w:t>ומעלה</w:t>
      </w:r>
      <w:r w:rsidR="00C7215B" w:rsidRPr="00C87FD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Pr="00C87FD3">
        <w:rPr>
          <w:rFonts w:ascii="Arial" w:hAnsi="Arial" w:cs="David"/>
          <w:sz w:val="22"/>
          <w:szCs w:val="22"/>
          <w:rtl/>
        </w:rPr>
        <w:t>–</w:t>
      </w:r>
      <w:r w:rsidRPr="00C87FD3">
        <w:rPr>
          <w:rFonts w:ascii="Arial" w:hAnsi="Arial" w:cs="David" w:hint="cs"/>
          <w:sz w:val="22"/>
          <w:szCs w:val="22"/>
          <w:rtl/>
        </w:rPr>
        <w:t xml:space="preserve"> מסלול שמדיניות ההשקעה בו מותאמת לעמיתים אשר גילם לפחות 60;</w:t>
      </w:r>
    </w:p>
    <w:p w:rsidR="006130FB" w:rsidRDefault="006130FB" w:rsidP="00E2712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78600B" w:rsidRPr="0078600B" w:rsidRDefault="0078600B" w:rsidP="006130FB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78600B">
        <w:rPr>
          <w:rFonts w:ascii="Arial" w:hAnsi="Arial" w:cs="David" w:hint="cs"/>
          <w:sz w:val="22"/>
          <w:szCs w:val="22"/>
          <w:rtl/>
        </w:rPr>
        <w:t xml:space="preserve">כל </w:t>
      </w:r>
      <w:r w:rsidRPr="0078600B">
        <w:rPr>
          <w:rFonts w:ascii="Arial" w:hAnsi="Arial" w:cs="David" w:hint="cs"/>
          <w:b/>
          <w:bCs/>
          <w:sz w:val="22"/>
          <w:szCs w:val="22"/>
          <w:rtl/>
        </w:rPr>
        <w:t>עמית חדש</w:t>
      </w:r>
      <w:r w:rsidRPr="0078600B">
        <w:rPr>
          <w:rFonts w:ascii="Arial" w:hAnsi="Arial" w:cs="David" w:hint="cs"/>
          <w:sz w:val="22"/>
          <w:szCs w:val="22"/>
          <w:rtl/>
        </w:rPr>
        <w:t xml:space="preserve"> בקופה אשר לא בחר במסלול השקעה ספציפי, יצורף למסלול השקעה המתאים לגילו וב</w:t>
      </w:r>
      <w:r w:rsidR="00993077">
        <w:rPr>
          <w:rFonts w:ascii="Arial" w:hAnsi="Arial" w:cs="David" w:hint="cs"/>
          <w:sz w:val="22"/>
          <w:szCs w:val="22"/>
          <w:rtl/>
        </w:rPr>
        <w:t>רבעון שלאחר ה</w:t>
      </w:r>
      <w:r w:rsidRPr="0078600B">
        <w:rPr>
          <w:rFonts w:ascii="Arial" w:hAnsi="Arial" w:cs="David" w:hint="cs"/>
          <w:sz w:val="22"/>
          <w:szCs w:val="22"/>
          <w:rtl/>
        </w:rPr>
        <w:t xml:space="preserve">מועד בו יגיע </w:t>
      </w:r>
      <w:r w:rsidRPr="0078600B">
        <w:rPr>
          <w:rFonts w:ascii="Arial" w:hAnsi="Arial" w:cs="David" w:hint="cs"/>
          <w:b/>
          <w:bCs/>
          <w:sz w:val="22"/>
          <w:szCs w:val="22"/>
          <w:rtl/>
        </w:rPr>
        <w:t>עמית חדש</w:t>
      </w:r>
      <w:r w:rsidRPr="0078600B">
        <w:rPr>
          <w:rFonts w:ascii="Arial" w:hAnsi="Arial" w:cs="David" w:hint="cs"/>
          <w:sz w:val="22"/>
          <w:szCs w:val="22"/>
          <w:rtl/>
        </w:rPr>
        <w:t xml:space="preserve"> לגיל בו קיים מסלול השקעות אחר, תעביר הקופה את העמית למסלול ההשקעות החדש המתאים לגילו.</w:t>
      </w:r>
    </w:p>
    <w:p w:rsidR="006130FB" w:rsidRPr="00100FAE" w:rsidRDefault="006130FB" w:rsidP="006130FB">
      <w:pPr>
        <w:pStyle w:val="ab"/>
        <w:rPr>
          <w:rFonts w:ascii="David" w:hAnsi="David" w:cs="David"/>
          <w:b/>
          <w:bCs/>
          <w:sz w:val="22"/>
          <w:szCs w:val="22"/>
          <w:rtl/>
        </w:rPr>
      </w:pPr>
      <w:r w:rsidRPr="00100FAE">
        <w:rPr>
          <w:rFonts w:ascii="David" w:hAnsi="David" w:cs="David"/>
          <w:b/>
          <w:bCs/>
          <w:sz w:val="22"/>
          <w:szCs w:val="22"/>
          <w:rtl/>
        </w:rPr>
        <w:t>"עמית חדש"</w:t>
      </w:r>
      <w:r w:rsidRPr="00100FAE">
        <w:rPr>
          <w:rFonts w:ascii="David" w:hAnsi="David" w:cs="David"/>
          <w:sz w:val="22"/>
          <w:szCs w:val="22"/>
          <w:rtl/>
        </w:rPr>
        <w:t xml:space="preserve"> לעניין זה הוא </w:t>
      </w:r>
      <w:r w:rsidRPr="00100FAE">
        <w:rPr>
          <w:rFonts w:ascii="David" w:eastAsiaTheme="minorHAnsi" w:hAnsi="David" w:cs="David"/>
          <w:sz w:val="22"/>
          <w:szCs w:val="22"/>
          <w:rtl/>
        </w:rPr>
        <w:t xml:space="preserve"> עמית שהצטרף לקופה לאחר יום 1.1.2016 או חשבון נוסף שעמית קיים פתח בקופה לאחר יום 1.1.2016, לרבות חשבון נוסף לצורך העברת כספים מקופה אחרת, ביחס לאותו חשבון.</w:t>
      </w:r>
    </w:p>
    <w:p w:rsidR="006130FB" w:rsidRDefault="006130FB" w:rsidP="00476B7C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78600B" w:rsidRDefault="0078600B" w:rsidP="006130FB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E27126">
        <w:rPr>
          <w:rFonts w:ascii="Arial" w:hAnsi="Arial" w:cs="David" w:hint="cs"/>
          <w:sz w:val="22"/>
          <w:szCs w:val="22"/>
          <w:rtl/>
        </w:rPr>
        <w:t xml:space="preserve">בהתאם להחלטת החברה, החל מיום 1 בינואר 2016, </w:t>
      </w:r>
      <w:r w:rsidRPr="00E27126">
        <w:rPr>
          <w:rFonts w:ascii="Arial" w:hAnsi="Arial" w:cs="David" w:hint="cs"/>
          <w:b/>
          <w:bCs/>
          <w:sz w:val="22"/>
          <w:szCs w:val="22"/>
          <w:rtl/>
        </w:rPr>
        <w:t>המסלול הכללי</w:t>
      </w:r>
      <w:r w:rsidRPr="00E27126">
        <w:rPr>
          <w:rFonts w:ascii="Arial" w:hAnsi="Arial" w:cs="David" w:hint="cs"/>
          <w:sz w:val="22"/>
          <w:szCs w:val="22"/>
          <w:rtl/>
        </w:rPr>
        <w:t xml:space="preserve"> </w:t>
      </w:r>
      <w:r w:rsidR="00836B02">
        <w:rPr>
          <w:rFonts w:ascii="Arial" w:hAnsi="Arial" w:cs="David" w:hint="cs"/>
          <w:sz w:val="22"/>
          <w:szCs w:val="22"/>
          <w:rtl/>
        </w:rPr>
        <w:t>יוגדר כ</w:t>
      </w:r>
      <w:r w:rsidR="00836B02" w:rsidRPr="00E27126">
        <w:rPr>
          <w:rFonts w:ascii="Arial" w:hAnsi="Arial" w:cs="David" w:hint="cs"/>
          <w:sz w:val="22"/>
          <w:szCs w:val="22"/>
          <w:rtl/>
        </w:rPr>
        <w:t xml:space="preserve">מסלול </w:t>
      </w:r>
      <w:r w:rsidRPr="00E27126">
        <w:rPr>
          <w:rFonts w:ascii="Arial" w:hAnsi="Arial" w:cs="David" w:hint="cs"/>
          <w:sz w:val="22"/>
          <w:szCs w:val="22"/>
          <w:rtl/>
        </w:rPr>
        <w:t xml:space="preserve">המותאם לעמיתים </w:t>
      </w:r>
      <w:r w:rsidR="00AB7D3E">
        <w:rPr>
          <w:rFonts w:ascii="Arial" w:hAnsi="Arial" w:cs="David" w:hint="cs"/>
          <w:sz w:val="22"/>
          <w:szCs w:val="22"/>
          <w:rtl/>
        </w:rPr>
        <w:t>בני</w:t>
      </w:r>
      <w:r w:rsidR="00AB7D3E" w:rsidRPr="00E27126">
        <w:rPr>
          <w:rFonts w:ascii="Arial" w:hAnsi="Arial" w:cs="David" w:hint="cs"/>
          <w:sz w:val="22"/>
          <w:szCs w:val="22"/>
          <w:rtl/>
        </w:rPr>
        <w:t xml:space="preserve"> </w:t>
      </w:r>
      <w:r w:rsidRPr="00E27126">
        <w:rPr>
          <w:rFonts w:ascii="Arial" w:hAnsi="Arial" w:cs="David" w:hint="cs"/>
          <w:sz w:val="22"/>
          <w:szCs w:val="22"/>
          <w:rtl/>
        </w:rPr>
        <w:t>50 עד 60</w:t>
      </w:r>
      <w:r w:rsidR="00E27126">
        <w:rPr>
          <w:rFonts w:ascii="Arial" w:hAnsi="Arial" w:cs="David" w:hint="cs"/>
          <w:sz w:val="22"/>
          <w:szCs w:val="22"/>
          <w:rtl/>
        </w:rPr>
        <w:t xml:space="preserve">. עמית </w:t>
      </w:r>
      <w:r w:rsidR="0008374D">
        <w:rPr>
          <w:rFonts w:ascii="Arial" w:hAnsi="Arial" w:cs="David" w:hint="cs"/>
          <w:sz w:val="22"/>
          <w:szCs w:val="22"/>
          <w:rtl/>
        </w:rPr>
        <w:t xml:space="preserve">קיים </w:t>
      </w:r>
      <w:r w:rsidR="00E27126">
        <w:rPr>
          <w:rFonts w:ascii="Arial" w:hAnsi="Arial" w:cs="David" w:hint="cs"/>
          <w:sz w:val="22"/>
          <w:szCs w:val="22"/>
          <w:rtl/>
        </w:rPr>
        <w:t xml:space="preserve">החוסך במסלול הכללי, אשר לא </w:t>
      </w:r>
      <w:r w:rsidR="0008374D">
        <w:rPr>
          <w:rFonts w:ascii="Arial" w:hAnsi="Arial" w:cs="David" w:hint="cs"/>
          <w:sz w:val="22"/>
          <w:szCs w:val="22"/>
          <w:rtl/>
        </w:rPr>
        <w:t xml:space="preserve">ימציא </w:t>
      </w:r>
      <w:r w:rsidR="00E27126">
        <w:rPr>
          <w:rFonts w:ascii="Arial" w:hAnsi="Arial" w:cs="David" w:hint="cs"/>
          <w:sz w:val="22"/>
          <w:szCs w:val="22"/>
          <w:rtl/>
        </w:rPr>
        <w:t xml:space="preserve">לחברה הוראה אחרת בכתב, יחסוך, החל מיום 1 בינואר 2016 במסלול המותאם לעמיתים </w:t>
      </w:r>
      <w:r w:rsidR="00476B7C">
        <w:rPr>
          <w:rFonts w:ascii="Arial" w:hAnsi="Arial" w:cs="David" w:hint="cs"/>
          <w:sz w:val="22"/>
          <w:szCs w:val="22"/>
          <w:rtl/>
        </w:rPr>
        <w:t xml:space="preserve">בני </w:t>
      </w:r>
      <w:r w:rsidR="00E27126">
        <w:rPr>
          <w:rFonts w:ascii="Arial" w:hAnsi="Arial" w:cs="David" w:hint="cs"/>
          <w:sz w:val="22"/>
          <w:szCs w:val="22"/>
          <w:rtl/>
        </w:rPr>
        <w:t xml:space="preserve">50 עד 60.  </w:t>
      </w:r>
    </w:p>
    <w:p w:rsidR="00E27126" w:rsidRPr="00C87FD3" w:rsidRDefault="00E27126" w:rsidP="00E27126">
      <w:pPr>
        <w:spacing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6F63C0" w:rsidRPr="00E27126" w:rsidRDefault="00E27126" w:rsidP="006130FB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sz w:val="22"/>
          <w:szCs w:val="22"/>
          <w:rtl/>
        </w:rPr>
        <w:t xml:space="preserve">בהתאם להחלטת החברה, החל מיום 1 בינואר 2016, </w:t>
      </w:r>
      <w:r w:rsidR="00CB4F3A">
        <w:rPr>
          <w:rFonts w:ascii="Arial" w:hAnsi="Arial" w:cs="David" w:hint="cs"/>
          <w:b/>
          <w:bCs/>
          <w:sz w:val="22"/>
          <w:szCs w:val="22"/>
          <w:rtl/>
        </w:rPr>
        <w:t>ה</w:t>
      </w:r>
      <w:r w:rsidR="0078600B" w:rsidRPr="00E27126">
        <w:rPr>
          <w:rFonts w:ascii="Arial" w:hAnsi="Arial" w:cs="David" w:hint="cs"/>
          <w:b/>
          <w:bCs/>
          <w:sz w:val="22"/>
          <w:szCs w:val="22"/>
          <w:rtl/>
        </w:rPr>
        <w:t xml:space="preserve">מסלול </w:t>
      </w:r>
      <w:r w:rsidR="005D199F" w:rsidRPr="005D199F">
        <w:rPr>
          <w:rFonts w:ascii="Arial" w:hAnsi="Arial" w:cs="David" w:hint="cs"/>
          <w:b/>
          <w:bCs/>
          <w:sz w:val="22"/>
          <w:szCs w:val="22"/>
          <w:rtl/>
        </w:rPr>
        <w:t>ללא מניות</w:t>
      </w:r>
      <w:r w:rsidR="00DB190F">
        <w:rPr>
          <w:rFonts w:ascii="Arial" w:hAnsi="Arial" w:cs="David" w:hint="cs"/>
          <w:sz w:val="22"/>
          <w:szCs w:val="22"/>
          <w:rtl/>
        </w:rPr>
        <w:t xml:space="preserve"> </w:t>
      </w:r>
      <w:r w:rsidR="00836B02">
        <w:rPr>
          <w:rFonts w:ascii="Arial" w:hAnsi="Arial" w:cs="David" w:hint="cs"/>
          <w:sz w:val="22"/>
          <w:szCs w:val="22"/>
          <w:rtl/>
        </w:rPr>
        <w:t>יוגדר כ</w:t>
      </w:r>
      <w:r w:rsidR="00836B02" w:rsidRPr="00E27126">
        <w:rPr>
          <w:rFonts w:ascii="Arial" w:hAnsi="Arial" w:cs="David" w:hint="cs"/>
          <w:sz w:val="22"/>
          <w:szCs w:val="22"/>
          <w:rtl/>
        </w:rPr>
        <w:t xml:space="preserve">מסלול </w:t>
      </w:r>
      <w:r w:rsidR="0078600B" w:rsidRPr="00E27126">
        <w:rPr>
          <w:rFonts w:ascii="Arial" w:hAnsi="Arial" w:cs="David" w:hint="cs"/>
          <w:sz w:val="22"/>
          <w:szCs w:val="22"/>
          <w:rtl/>
        </w:rPr>
        <w:t xml:space="preserve">המותאם לעמיתים בגיל 60 </w:t>
      </w:r>
      <w:r w:rsidR="00D0677C">
        <w:rPr>
          <w:rFonts w:ascii="Arial" w:hAnsi="Arial" w:cs="David" w:hint="cs"/>
          <w:sz w:val="22"/>
          <w:szCs w:val="22"/>
          <w:rtl/>
        </w:rPr>
        <w:t>ומעלה</w:t>
      </w:r>
      <w:r w:rsidR="0078600B" w:rsidRPr="00E27126">
        <w:rPr>
          <w:rFonts w:ascii="Arial" w:hAnsi="Arial" w:cs="David" w:hint="cs"/>
          <w:sz w:val="22"/>
          <w:szCs w:val="22"/>
          <w:rtl/>
        </w:rPr>
        <w:t>.</w:t>
      </w:r>
      <w:r>
        <w:rPr>
          <w:rFonts w:ascii="Arial" w:hAnsi="Arial" w:cs="David" w:hint="cs"/>
          <w:sz w:val="22"/>
          <w:szCs w:val="22"/>
          <w:rtl/>
        </w:rPr>
        <w:t xml:space="preserve">  עמית </w:t>
      </w:r>
      <w:r w:rsidR="0008374D">
        <w:rPr>
          <w:rFonts w:ascii="Arial" w:hAnsi="Arial" w:cs="David" w:hint="cs"/>
          <w:sz w:val="22"/>
          <w:szCs w:val="22"/>
          <w:rtl/>
        </w:rPr>
        <w:t xml:space="preserve">קיים </w:t>
      </w:r>
      <w:r>
        <w:rPr>
          <w:rFonts w:ascii="Arial" w:hAnsi="Arial" w:cs="David" w:hint="cs"/>
          <w:sz w:val="22"/>
          <w:szCs w:val="22"/>
          <w:rtl/>
        </w:rPr>
        <w:t xml:space="preserve">החוסך </w:t>
      </w:r>
      <w:r w:rsidRPr="00E27126">
        <w:rPr>
          <w:rFonts w:ascii="Arial" w:hAnsi="Arial" w:cs="David" w:hint="cs"/>
          <w:b/>
          <w:bCs/>
          <w:sz w:val="22"/>
          <w:szCs w:val="22"/>
          <w:rtl/>
        </w:rPr>
        <w:t xml:space="preserve">במסלול </w:t>
      </w:r>
      <w:r w:rsidR="005D199F">
        <w:rPr>
          <w:rFonts w:ascii="Arial" w:hAnsi="Arial" w:cs="David" w:hint="cs"/>
          <w:b/>
          <w:bCs/>
          <w:sz w:val="22"/>
          <w:szCs w:val="22"/>
          <w:rtl/>
        </w:rPr>
        <w:t>ללא מניות</w:t>
      </w:r>
      <w:r w:rsidRPr="00E27126">
        <w:rPr>
          <w:rFonts w:ascii="Arial" w:hAnsi="Arial" w:cs="David" w:hint="cs"/>
          <w:sz w:val="22"/>
          <w:szCs w:val="22"/>
          <w:rtl/>
        </w:rPr>
        <w:t>,</w:t>
      </w:r>
      <w:r>
        <w:rPr>
          <w:rFonts w:ascii="Arial" w:hAnsi="Arial" w:cs="David" w:hint="cs"/>
          <w:sz w:val="22"/>
          <w:szCs w:val="22"/>
          <w:rtl/>
        </w:rPr>
        <w:t xml:space="preserve"> אשר לא </w:t>
      </w:r>
      <w:r w:rsidR="0008374D">
        <w:rPr>
          <w:rFonts w:ascii="Arial" w:hAnsi="Arial" w:cs="David" w:hint="cs"/>
          <w:sz w:val="22"/>
          <w:szCs w:val="22"/>
          <w:rtl/>
        </w:rPr>
        <w:t xml:space="preserve">ימציא </w:t>
      </w:r>
      <w:r>
        <w:rPr>
          <w:rFonts w:ascii="Arial" w:hAnsi="Arial" w:cs="David" w:hint="cs"/>
          <w:sz w:val="22"/>
          <w:szCs w:val="22"/>
          <w:rtl/>
        </w:rPr>
        <w:t xml:space="preserve">לחברה הוראה אחרת בכתב, יחסוך, החל מיום 1 בינואר 2016 במסלול המותאם לעמיתים </w:t>
      </w:r>
      <w:r w:rsidR="006130FB">
        <w:rPr>
          <w:rFonts w:ascii="Arial" w:hAnsi="Arial" w:cs="David" w:hint="cs"/>
          <w:sz w:val="22"/>
          <w:szCs w:val="22"/>
          <w:rtl/>
        </w:rPr>
        <w:t>בני</w:t>
      </w:r>
      <w:r>
        <w:rPr>
          <w:rFonts w:ascii="Arial" w:hAnsi="Arial" w:cs="David" w:hint="cs"/>
          <w:sz w:val="22"/>
          <w:szCs w:val="22"/>
          <w:rtl/>
        </w:rPr>
        <w:t xml:space="preserve"> 60</w:t>
      </w:r>
      <w:r w:rsidR="00C12906">
        <w:rPr>
          <w:rFonts w:ascii="Arial" w:hAnsi="Arial" w:cs="David" w:hint="cs"/>
          <w:sz w:val="22"/>
          <w:szCs w:val="22"/>
          <w:rtl/>
        </w:rPr>
        <w:t xml:space="preserve"> </w:t>
      </w:r>
      <w:r w:rsidR="00476B7C">
        <w:rPr>
          <w:rFonts w:ascii="Arial" w:hAnsi="Arial" w:cs="David" w:hint="cs"/>
          <w:sz w:val="22"/>
          <w:szCs w:val="22"/>
          <w:rtl/>
        </w:rPr>
        <w:t>ומעלה.</w:t>
      </w:r>
    </w:p>
    <w:p w:rsidR="0078600B" w:rsidRPr="00C87FD3" w:rsidRDefault="0078600B" w:rsidP="00E27126">
      <w:pPr>
        <w:spacing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6130FB" w:rsidRPr="005D162C" w:rsidRDefault="006130FB" w:rsidP="00FD64F5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sz w:val="22"/>
          <w:szCs w:val="22"/>
          <w:rtl/>
        </w:rPr>
        <w:t xml:space="preserve">כל עמית שהצטרף לקופה לפני יום 1.1.2016 </w:t>
      </w:r>
      <w:r w:rsidRPr="005D162C">
        <w:rPr>
          <w:rFonts w:ascii="Arial" w:hAnsi="Arial" w:cs="David" w:hint="cs"/>
          <w:sz w:val="22"/>
          <w:szCs w:val="22"/>
          <w:rtl/>
        </w:rPr>
        <w:t xml:space="preserve"> </w:t>
      </w:r>
      <w:r>
        <w:rPr>
          <w:rFonts w:ascii="Arial" w:hAnsi="Arial" w:cs="David" w:hint="cs"/>
          <w:sz w:val="22"/>
          <w:szCs w:val="22"/>
          <w:rtl/>
        </w:rPr>
        <w:t>זכאי להודיע לחברה (באמצעות טופס בקשה) על רצונ</w:t>
      </w:r>
      <w:r w:rsidR="00FD64F5">
        <w:rPr>
          <w:rFonts w:ascii="Arial" w:hAnsi="Arial" w:cs="David" w:hint="cs"/>
          <w:sz w:val="22"/>
          <w:szCs w:val="22"/>
          <w:rtl/>
        </w:rPr>
        <w:t>ו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Pr="005D162C">
        <w:rPr>
          <w:rFonts w:ascii="Arial" w:hAnsi="Arial" w:cs="David" w:hint="cs"/>
          <w:sz w:val="22"/>
          <w:szCs w:val="22"/>
          <w:rtl/>
        </w:rPr>
        <w:t xml:space="preserve">להצטרף </w:t>
      </w:r>
      <w:r w:rsidRPr="005D162C">
        <w:rPr>
          <w:rFonts w:ascii="Arial" w:hAnsi="Arial" w:cs="David" w:hint="cs"/>
          <w:b/>
          <w:bCs/>
          <w:sz w:val="22"/>
          <w:szCs w:val="22"/>
          <w:rtl/>
        </w:rPr>
        <w:t>למסלול ברירת מחדל, המותאם לגיל</w:t>
      </w:r>
      <w:r>
        <w:rPr>
          <w:rFonts w:ascii="Arial" w:hAnsi="Arial" w:cs="David" w:hint="cs"/>
          <w:b/>
          <w:bCs/>
          <w:sz w:val="22"/>
          <w:szCs w:val="22"/>
          <w:rtl/>
        </w:rPr>
        <w:t xml:space="preserve">ו </w:t>
      </w:r>
      <w:r w:rsidRPr="005D199F">
        <w:rPr>
          <w:rFonts w:ascii="Arial" w:hAnsi="Arial" w:cs="David"/>
          <w:sz w:val="22"/>
          <w:szCs w:val="22"/>
          <w:rtl/>
        </w:rPr>
        <w:t>(ל</w:t>
      </w:r>
      <w:r w:rsidRPr="005D199F">
        <w:rPr>
          <w:rFonts w:ascii="Arial" w:hAnsi="Arial" w:cs="David" w:hint="eastAsia"/>
          <w:sz w:val="22"/>
          <w:szCs w:val="22"/>
          <w:rtl/>
        </w:rPr>
        <w:t>הלן</w:t>
      </w:r>
      <w:r w:rsidRPr="005D199F">
        <w:rPr>
          <w:rFonts w:ascii="Arial" w:hAnsi="Arial" w:cs="David"/>
          <w:sz w:val="22"/>
          <w:szCs w:val="22"/>
          <w:rtl/>
        </w:rPr>
        <w:t>: "</w:t>
      </w:r>
      <w:r w:rsidRPr="00E76BE1">
        <w:rPr>
          <w:rFonts w:ascii="Arial" w:hAnsi="Arial" w:cs="David" w:hint="eastAsia"/>
          <w:b/>
          <w:bCs/>
          <w:sz w:val="22"/>
          <w:szCs w:val="22"/>
          <w:rtl/>
        </w:rPr>
        <w:t>מודל</w:t>
      </w:r>
      <w:r w:rsidRPr="00E76BE1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b/>
          <w:bCs/>
          <w:sz w:val="22"/>
          <w:szCs w:val="22"/>
          <w:rtl/>
        </w:rPr>
        <w:t>תלוי</w:t>
      </w:r>
      <w:r w:rsidRPr="00E76BE1">
        <w:rPr>
          <w:rFonts w:ascii="Arial" w:hAnsi="Arial" w:cs="David"/>
          <w:b/>
          <w:bCs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b/>
          <w:bCs/>
          <w:sz w:val="22"/>
          <w:szCs w:val="22"/>
          <w:rtl/>
        </w:rPr>
        <w:t>גיל</w:t>
      </w:r>
      <w:r w:rsidRPr="005D199F">
        <w:rPr>
          <w:rFonts w:ascii="Arial" w:hAnsi="Arial" w:cs="David"/>
          <w:sz w:val="22"/>
          <w:szCs w:val="22"/>
          <w:rtl/>
        </w:rPr>
        <w:t>")</w:t>
      </w:r>
      <w:r w:rsidRPr="00E76BE1">
        <w:rPr>
          <w:rFonts w:ascii="Arial" w:hAnsi="Arial" w:cs="David"/>
          <w:sz w:val="22"/>
          <w:szCs w:val="22"/>
          <w:rtl/>
        </w:rPr>
        <w:t xml:space="preserve">, </w:t>
      </w:r>
      <w:r w:rsidRPr="00E76BE1">
        <w:rPr>
          <w:rFonts w:ascii="Arial" w:hAnsi="Arial" w:cs="David" w:hint="eastAsia"/>
          <w:sz w:val="22"/>
          <w:szCs w:val="22"/>
          <w:rtl/>
        </w:rPr>
        <w:t>באופן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שיתרת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הכספים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בחשבונ</w:t>
      </w:r>
      <w:r>
        <w:rPr>
          <w:rFonts w:ascii="Arial" w:hAnsi="Arial" w:cs="David" w:hint="cs"/>
          <w:sz w:val="22"/>
          <w:szCs w:val="22"/>
          <w:rtl/>
        </w:rPr>
        <w:t>ו</w:t>
      </w:r>
      <w:r w:rsidRPr="00E76BE1">
        <w:rPr>
          <w:rFonts w:ascii="Arial" w:hAnsi="Arial" w:cs="David"/>
          <w:sz w:val="22"/>
          <w:szCs w:val="22"/>
          <w:rtl/>
        </w:rPr>
        <w:t xml:space="preserve">, </w:t>
      </w:r>
      <w:r w:rsidRPr="00E76BE1">
        <w:rPr>
          <w:rFonts w:ascii="Arial" w:hAnsi="Arial" w:cs="David" w:hint="eastAsia"/>
          <w:sz w:val="22"/>
          <w:szCs w:val="22"/>
          <w:rtl/>
        </w:rPr>
        <w:t>כולל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הפקדות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שוטפות</w:t>
      </w:r>
      <w:r w:rsidRPr="00E76BE1">
        <w:rPr>
          <w:rFonts w:ascii="Arial" w:hAnsi="Arial" w:cs="David"/>
          <w:sz w:val="22"/>
          <w:szCs w:val="22"/>
          <w:rtl/>
        </w:rPr>
        <w:t xml:space="preserve">, </w:t>
      </w:r>
      <w:r>
        <w:rPr>
          <w:rFonts w:ascii="Arial" w:hAnsi="Arial" w:cs="David" w:hint="cs"/>
          <w:sz w:val="22"/>
          <w:szCs w:val="22"/>
          <w:rtl/>
        </w:rPr>
        <w:t>יועברו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לחשבון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על</w:t>
      </w:r>
      <w:r w:rsidRPr="00E76BE1">
        <w:rPr>
          <w:rFonts w:ascii="Arial" w:hAnsi="Arial" w:cs="David"/>
          <w:sz w:val="22"/>
          <w:szCs w:val="22"/>
          <w:rtl/>
        </w:rPr>
        <w:t xml:space="preserve"> </w:t>
      </w:r>
      <w:r w:rsidRPr="00E76BE1">
        <w:rPr>
          <w:rFonts w:ascii="Arial" w:hAnsi="Arial" w:cs="David" w:hint="eastAsia"/>
          <w:sz w:val="22"/>
          <w:szCs w:val="22"/>
          <w:rtl/>
        </w:rPr>
        <w:t>שמ</w:t>
      </w:r>
      <w:r>
        <w:rPr>
          <w:rFonts w:ascii="Arial" w:hAnsi="Arial" w:cs="David" w:hint="cs"/>
          <w:sz w:val="22"/>
          <w:szCs w:val="22"/>
          <w:rtl/>
        </w:rPr>
        <w:t>ו</w:t>
      </w:r>
      <w:r w:rsidRPr="005D162C">
        <w:rPr>
          <w:rFonts w:ascii="Arial" w:hAnsi="Arial" w:cs="David" w:hint="cs"/>
          <w:sz w:val="22"/>
          <w:szCs w:val="22"/>
          <w:rtl/>
        </w:rPr>
        <w:t xml:space="preserve"> במסלול השקעה המותאם לגיל</w:t>
      </w:r>
      <w:r>
        <w:rPr>
          <w:rFonts w:ascii="Arial" w:hAnsi="Arial" w:cs="David" w:hint="cs"/>
          <w:sz w:val="22"/>
          <w:szCs w:val="22"/>
          <w:rtl/>
        </w:rPr>
        <w:t>ו, ו</w:t>
      </w:r>
      <w:r w:rsidRPr="005D162C">
        <w:rPr>
          <w:rFonts w:ascii="Arial" w:hAnsi="Arial" w:cs="David" w:hint="cs"/>
          <w:sz w:val="22"/>
          <w:szCs w:val="22"/>
          <w:rtl/>
        </w:rPr>
        <w:t>ב</w:t>
      </w:r>
      <w:r>
        <w:rPr>
          <w:rFonts w:ascii="Arial" w:hAnsi="Arial" w:cs="David" w:hint="cs"/>
          <w:sz w:val="22"/>
          <w:szCs w:val="22"/>
          <w:rtl/>
        </w:rPr>
        <w:t xml:space="preserve">רבעון שלאחר המועד בו יגיע העמית לגיל </w:t>
      </w:r>
      <w:r w:rsidRPr="005D162C">
        <w:rPr>
          <w:rFonts w:ascii="Arial" w:hAnsi="Arial" w:cs="David" w:hint="cs"/>
          <w:sz w:val="22"/>
          <w:szCs w:val="22"/>
          <w:rtl/>
        </w:rPr>
        <w:t>בו קיים מסלול השקעות אחר המתאים לגיל</w:t>
      </w:r>
      <w:r>
        <w:rPr>
          <w:rFonts w:ascii="Arial" w:hAnsi="Arial" w:cs="David" w:hint="cs"/>
          <w:sz w:val="22"/>
          <w:szCs w:val="22"/>
          <w:rtl/>
        </w:rPr>
        <w:t>ו</w:t>
      </w:r>
      <w:r w:rsidRPr="005D162C">
        <w:rPr>
          <w:rFonts w:ascii="Arial" w:hAnsi="Arial" w:cs="David" w:hint="cs"/>
          <w:sz w:val="22"/>
          <w:szCs w:val="22"/>
          <w:rtl/>
        </w:rPr>
        <w:t xml:space="preserve"> </w:t>
      </w:r>
      <w:r w:rsidRPr="005D162C">
        <w:rPr>
          <w:rFonts w:ascii="Arial" w:hAnsi="Arial" w:cs="David"/>
          <w:sz w:val="22"/>
          <w:szCs w:val="22"/>
          <w:rtl/>
        </w:rPr>
        <w:t>–</w:t>
      </w:r>
      <w:r w:rsidRPr="005D162C">
        <w:rPr>
          <w:rFonts w:ascii="Arial" w:hAnsi="Arial" w:cs="David" w:hint="cs"/>
          <w:sz w:val="22"/>
          <w:szCs w:val="22"/>
          <w:rtl/>
        </w:rPr>
        <w:t xml:space="preserve"> יועברו הכספים </w:t>
      </w:r>
      <w:r>
        <w:rPr>
          <w:rFonts w:ascii="Arial" w:hAnsi="Arial" w:cs="David" w:hint="cs"/>
          <w:sz w:val="22"/>
          <w:szCs w:val="22"/>
          <w:rtl/>
        </w:rPr>
        <w:t>ל</w:t>
      </w:r>
      <w:r w:rsidRPr="005D162C">
        <w:rPr>
          <w:rFonts w:ascii="Arial" w:hAnsi="Arial" w:cs="David" w:hint="cs"/>
          <w:sz w:val="22"/>
          <w:szCs w:val="22"/>
          <w:rtl/>
        </w:rPr>
        <w:t>מסלול ברירת מחדל המתאים לגיל</w:t>
      </w:r>
      <w:r>
        <w:rPr>
          <w:rFonts w:ascii="Arial" w:hAnsi="Arial" w:cs="David" w:hint="cs"/>
          <w:sz w:val="22"/>
          <w:szCs w:val="22"/>
          <w:rtl/>
        </w:rPr>
        <w:t>ו</w:t>
      </w:r>
      <w:r w:rsidRPr="005D162C">
        <w:rPr>
          <w:rFonts w:ascii="Arial" w:hAnsi="Arial" w:cs="David" w:hint="cs"/>
          <w:sz w:val="22"/>
          <w:szCs w:val="22"/>
          <w:rtl/>
        </w:rPr>
        <w:t>.</w:t>
      </w:r>
    </w:p>
    <w:p w:rsidR="006130FB" w:rsidRPr="00C87FD3" w:rsidRDefault="006130FB" w:rsidP="006130FB">
      <w:pPr>
        <w:spacing w:line="360" w:lineRule="auto"/>
        <w:jc w:val="both"/>
        <w:rPr>
          <w:rFonts w:ascii="Arial" w:hAnsi="Arial" w:cs="David"/>
          <w:b/>
          <w:bCs/>
          <w:sz w:val="16"/>
          <w:szCs w:val="16"/>
          <w:rtl/>
        </w:rPr>
      </w:pPr>
    </w:p>
    <w:p w:rsidR="006130FB" w:rsidRPr="005D162C" w:rsidRDefault="006130FB" w:rsidP="006130FB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לחילופין, </w:t>
      </w:r>
      <w:r>
        <w:rPr>
          <w:rFonts w:ascii="Arial" w:hAnsi="Arial" w:cs="David" w:hint="cs"/>
          <w:sz w:val="22"/>
          <w:szCs w:val="22"/>
          <w:rtl/>
        </w:rPr>
        <w:t xml:space="preserve"> כל עמית, קיים או עמית חדש, </w:t>
      </w:r>
      <w:r w:rsidRPr="005D162C">
        <w:rPr>
          <w:rFonts w:ascii="Arial" w:hAnsi="Arial" w:cs="David" w:hint="cs"/>
          <w:sz w:val="22"/>
          <w:szCs w:val="22"/>
          <w:rtl/>
        </w:rPr>
        <w:t xml:space="preserve">זכאי לעבור </w:t>
      </w:r>
      <w:r w:rsidRPr="005D162C">
        <w:rPr>
          <w:rFonts w:ascii="Arial" w:hAnsi="Arial" w:cs="David" w:hint="cs"/>
          <w:b/>
          <w:bCs/>
          <w:sz w:val="22"/>
          <w:szCs w:val="22"/>
          <w:rtl/>
        </w:rPr>
        <w:t>לכל מסלול השקעה אחר בקופה</w:t>
      </w:r>
      <w:r w:rsidRPr="005D162C">
        <w:rPr>
          <w:rFonts w:ascii="Arial" w:hAnsi="Arial" w:cs="David" w:hint="cs"/>
          <w:sz w:val="22"/>
          <w:szCs w:val="22"/>
          <w:rtl/>
        </w:rPr>
        <w:t xml:space="preserve">, בו </w:t>
      </w:r>
      <w:r>
        <w:rPr>
          <w:rFonts w:ascii="Arial" w:hAnsi="Arial" w:cs="David" w:hint="cs"/>
          <w:sz w:val="22"/>
          <w:szCs w:val="22"/>
          <w:rtl/>
        </w:rPr>
        <w:t>י</w:t>
      </w:r>
      <w:r w:rsidRPr="005D162C">
        <w:rPr>
          <w:rFonts w:ascii="Arial" w:hAnsi="Arial" w:cs="David" w:hint="cs"/>
          <w:sz w:val="22"/>
          <w:szCs w:val="22"/>
          <w:rtl/>
        </w:rPr>
        <w:t>בחר, בכל עת</w:t>
      </w:r>
      <w:r>
        <w:rPr>
          <w:rFonts w:ascii="Arial" w:hAnsi="Arial" w:cs="David" w:hint="cs"/>
          <w:sz w:val="22"/>
          <w:szCs w:val="22"/>
          <w:rtl/>
        </w:rPr>
        <w:t>, כולל מסלול השקעה שאינו תואם את גילו</w:t>
      </w:r>
      <w:r w:rsidRPr="005D162C">
        <w:rPr>
          <w:rFonts w:ascii="Arial" w:hAnsi="Arial" w:cs="David" w:hint="cs"/>
          <w:sz w:val="22"/>
          <w:szCs w:val="22"/>
          <w:rtl/>
        </w:rPr>
        <w:t>.</w:t>
      </w:r>
    </w:p>
    <w:p w:rsidR="006130FB" w:rsidRDefault="006130FB" w:rsidP="006130FB">
      <w:pPr>
        <w:spacing w:line="360" w:lineRule="auto"/>
        <w:jc w:val="both"/>
        <w:rPr>
          <w:rFonts w:ascii="Arial" w:hAnsi="Arial" w:cs="David"/>
          <w:b/>
          <w:bCs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טופס העברה ממסלול למסלול, כולל אפשרות להעברת החיסכון וההפקדות השוטפות ל"מודל תלוי גיל" וכן דברי הסבר למשלוח הטופס, ניתן למצוא </w:t>
      </w:r>
      <w:r w:rsidR="00981B55">
        <w:rPr>
          <w:rFonts w:ascii="Arial" w:hAnsi="Arial" w:cs="David" w:hint="cs"/>
          <w:b/>
          <w:bCs/>
          <w:sz w:val="22"/>
          <w:szCs w:val="22"/>
          <w:rtl/>
        </w:rPr>
        <w:t>כאן באתר החברה, תחת לשונית "טפסים", החל מחודש ינואר 2016, עם תחילת הפעלת המסלולים החדשים.</w:t>
      </w:r>
      <w:bookmarkStart w:id="0" w:name="_GoBack"/>
      <w:bookmarkEnd w:id="0"/>
    </w:p>
    <w:p w:rsidR="005737F7" w:rsidRDefault="005737F7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CC2733">
      <w:pPr>
        <w:spacing w:before="40"/>
        <w:rPr>
          <w:rFonts w:ascii="Arial" w:hAnsi="Arial" w:cs="David"/>
          <w:b/>
          <w:bCs/>
          <w:sz w:val="22"/>
          <w:szCs w:val="22"/>
          <w:rtl/>
        </w:rPr>
      </w:pPr>
    </w:p>
    <w:p w:rsidR="0074489C" w:rsidRDefault="0074489C" w:rsidP="00CC2733">
      <w:pPr>
        <w:spacing w:before="40"/>
        <w:rPr>
          <w:rFonts w:ascii="Arial" w:hAnsi="Arial" w:cs="David"/>
          <w:b/>
          <w:bCs/>
          <w:sz w:val="22"/>
          <w:szCs w:val="22"/>
        </w:rPr>
      </w:pPr>
    </w:p>
    <w:p w:rsidR="005D162C" w:rsidRPr="006130FB" w:rsidRDefault="005D162C" w:rsidP="00CC2733">
      <w:pPr>
        <w:spacing w:before="40"/>
        <w:rPr>
          <w:rFonts w:ascii="Arial" w:hAnsi="Arial" w:cs="David"/>
          <w:b/>
          <w:bCs/>
          <w:rtl/>
        </w:rPr>
      </w:pPr>
      <w:r w:rsidRPr="006130FB">
        <w:rPr>
          <w:rFonts w:ascii="Arial" w:hAnsi="Arial" w:cs="David" w:hint="cs"/>
          <w:b/>
          <w:bCs/>
          <w:rtl/>
        </w:rPr>
        <w:t>פרטים על מסלולי ההשקעה החדשים שיפעלו בקופ</w:t>
      </w:r>
      <w:r w:rsidR="00C87FD3" w:rsidRPr="006130FB">
        <w:rPr>
          <w:rFonts w:ascii="Arial" w:hAnsi="Arial" w:cs="David" w:hint="cs"/>
          <w:b/>
          <w:bCs/>
          <w:rtl/>
        </w:rPr>
        <w:t xml:space="preserve">ת גמל </w:t>
      </w:r>
      <w:r w:rsidR="00C75CB6" w:rsidRPr="006130FB">
        <w:rPr>
          <w:rFonts w:ascii="Arial" w:hAnsi="Arial" w:cs="David" w:hint="cs"/>
          <w:b/>
          <w:bCs/>
          <w:rtl/>
        </w:rPr>
        <w:t>עו</w:t>
      </w:r>
      <w:r w:rsidR="00C75CB6" w:rsidRPr="006130FB">
        <w:rPr>
          <w:rFonts w:ascii="Arial" w:hAnsi="Arial" w:cs="David"/>
          <w:b/>
          <w:bCs/>
          <w:rtl/>
        </w:rPr>
        <w:t>"</w:t>
      </w:r>
      <w:r w:rsidR="00C75CB6" w:rsidRPr="006130FB">
        <w:rPr>
          <w:rFonts w:ascii="Arial" w:hAnsi="Arial" w:cs="David" w:hint="cs"/>
          <w:b/>
          <w:bCs/>
          <w:rtl/>
        </w:rPr>
        <w:t>ס</w:t>
      </w:r>
      <w:r w:rsidRPr="006130FB">
        <w:rPr>
          <w:rFonts w:ascii="Arial" w:hAnsi="Arial" w:cs="David" w:hint="cs"/>
          <w:b/>
          <w:bCs/>
          <w:rtl/>
        </w:rPr>
        <w:t xml:space="preserve"> החל מיום 1 בינואר 2016:</w:t>
      </w:r>
    </w:p>
    <w:tbl>
      <w:tblPr>
        <w:tblStyle w:val="ae"/>
        <w:bidiVisual/>
        <w:tblW w:w="9073" w:type="dxa"/>
        <w:tblInd w:w="-417" w:type="dxa"/>
        <w:tblLook w:val="04A0" w:firstRow="1" w:lastRow="0" w:firstColumn="1" w:lastColumn="0" w:noHBand="0" w:noVBand="1"/>
      </w:tblPr>
      <w:tblGrid>
        <w:gridCol w:w="1483"/>
        <w:gridCol w:w="1778"/>
        <w:gridCol w:w="5812"/>
      </w:tblGrid>
      <w:tr w:rsidR="00A21D4F" w:rsidTr="005A3C0F">
        <w:tc>
          <w:tcPr>
            <w:tcW w:w="1483" w:type="dxa"/>
            <w:shd w:val="clear" w:color="auto" w:fill="FDE9D9" w:themeFill="accent6" w:themeFillTint="33"/>
            <w:tcMar>
              <w:top w:w="28" w:type="dxa"/>
              <w:bottom w:w="28" w:type="dxa"/>
            </w:tcMar>
            <w:vAlign w:val="center"/>
          </w:tcPr>
          <w:p w:rsidR="00A21D4F" w:rsidRDefault="00A21D4F" w:rsidP="00F1343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שם המסלול</w:t>
            </w:r>
          </w:p>
          <w:p w:rsidR="00A21D4F" w:rsidRDefault="00A21D4F" w:rsidP="00F1343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החדש</w:t>
            </w:r>
          </w:p>
        </w:tc>
        <w:tc>
          <w:tcPr>
            <w:tcW w:w="1778" w:type="dxa"/>
            <w:shd w:val="clear" w:color="auto" w:fill="FDE9D9" w:themeFill="accent6" w:themeFillTint="33"/>
            <w:tcMar>
              <w:top w:w="28" w:type="dxa"/>
              <w:bottom w:w="28" w:type="dxa"/>
            </w:tcMar>
            <w:vAlign w:val="center"/>
          </w:tcPr>
          <w:p w:rsidR="00A21D4F" w:rsidRDefault="00A21D4F" w:rsidP="00207D5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מדיניות השקעה תקנונית</w:t>
            </w:r>
          </w:p>
        </w:tc>
        <w:tc>
          <w:tcPr>
            <w:tcW w:w="5812" w:type="dxa"/>
            <w:shd w:val="clear" w:color="auto" w:fill="FDE9D9" w:themeFill="accent6" w:themeFillTint="33"/>
            <w:tcMar>
              <w:top w:w="28" w:type="dxa"/>
              <w:bottom w:w="28" w:type="dxa"/>
            </w:tcMar>
            <w:vAlign w:val="center"/>
          </w:tcPr>
          <w:p w:rsidR="00A21D4F" w:rsidRDefault="00A21D4F" w:rsidP="00F1343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הנימוקים לשינוי</w:t>
            </w:r>
          </w:p>
        </w:tc>
      </w:tr>
      <w:tr w:rsidR="00A21D4F" w:rsidTr="005A3C0F">
        <w:tc>
          <w:tcPr>
            <w:tcW w:w="1483" w:type="dxa"/>
            <w:tcMar>
              <w:top w:w="28" w:type="dxa"/>
              <w:bottom w:w="28" w:type="dxa"/>
            </w:tcMar>
            <w:vAlign w:val="center"/>
          </w:tcPr>
          <w:p w:rsidR="00A21D4F" w:rsidRPr="0074489C" w:rsidRDefault="00EB3625" w:rsidP="00F1343B">
            <w:pPr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74489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לבני 50 ומטה</w:t>
            </w:r>
          </w:p>
        </w:tc>
        <w:tc>
          <w:tcPr>
            <w:tcW w:w="177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/>
                <w:sz w:val="21"/>
                <w:szCs w:val="21"/>
                <w:rtl/>
              </w:rPr>
              <w:t xml:space="preserve">נכסי 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העמיתים</w:t>
            </w:r>
            <w:r w:rsidRPr="00207D5B">
              <w:rPr>
                <w:rFonts w:ascii="Arial" w:hAnsi="Arial" w:cs="David"/>
                <w:sz w:val="21"/>
                <w:szCs w:val="21"/>
                <w:rtl/>
              </w:rPr>
              <w:t xml:space="preserve"> יהיו חשופים לנכסים מסוגים שונים בכפוף להוראות הדין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. הנכסים יושקעו על-פי שיקול דעתה של ועדת ההשקעות, בהתחשב, בין היתר בגילאי העמיתים בכל מסלול.</w:t>
            </w:r>
          </w:p>
        </w:tc>
        <w:tc>
          <w:tcPr>
            <w:tcW w:w="5812" w:type="dxa"/>
            <w:tcMar>
              <w:top w:w="28" w:type="dxa"/>
              <w:bottom w:w="28" w:type="dxa"/>
            </w:tcMar>
            <w:vAlign w:val="center"/>
          </w:tcPr>
          <w:p w:rsidR="00A21D4F" w:rsidRDefault="00A21D4F" w:rsidP="00A21D4F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>
              <w:rPr>
                <w:rFonts w:ascii="Arial" w:hAnsi="Arial" w:cs="David" w:hint="cs"/>
                <w:sz w:val="21"/>
                <w:szCs w:val="21"/>
                <w:rtl/>
              </w:rPr>
              <w:t>פתיחת מסלול השקעות חדש (החל מינואר 2016 בהתאם לדרישות הדין).</w:t>
            </w: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</w:tc>
      </w:tr>
      <w:tr w:rsidR="00A21D4F" w:rsidTr="005A3C0F">
        <w:tc>
          <w:tcPr>
            <w:tcW w:w="1483" w:type="dxa"/>
            <w:tcMar>
              <w:top w:w="28" w:type="dxa"/>
              <w:bottom w:w="28" w:type="dxa"/>
            </w:tcMar>
            <w:vAlign w:val="center"/>
          </w:tcPr>
          <w:p w:rsidR="00C076E5" w:rsidRPr="0074489C" w:rsidRDefault="00C076E5" w:rsidP="00F1343B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A21D4F" w:rsidRPr="0074489C" w:rsidRDefault="00EB3625" w:rsidP="00F1343B">
            <w:pPr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74489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לבני 50 עד 60</w:t>
            </w:r>
          </w:p>
        </w:tc>
        <w:tc>
          <w:tcPr>
            <w:tcW w:w="1778" w:type="dxa"/>
            <w:vMerge/>
            <w:tcMar>
              <w:top w:w="28" w:type="dxa"/>
              <w:bottom w:w="28" w:type="dxa"/>
            </w:tcMar>
            <w:vAlign w:val="center"/>
          </w:tcPr>
          <w:p w:rsidR="00A21D4F" w:rsidRPr="00207D5B" w:rsidRDefault="00A21D4F" w:rsidP="00F1343B">
            <w:pPr>
              <w:rPr>
                <w:rFonts w:ascii="Arial" w:hAnsi="Arial" w:cs="David"/>
                <w:sz w:val="21"/>
                <w:szCs w:val="21"/>
                <w:rtl/>
              </w:rPr>
            </w:pPr>
          </w:p>
        </w:tc>
        <w:tc>
          <w:tcPr>
            <w:tcW w:w="5812" w:type="dxa"/>
            <w:tcMar>
              <w:top w:w="28" w:type="dxa"/>
              <w:bottom w:w="28" w:type="dxa"/>
            </w:tcMar>
            <w:vAlign w:val="center"/>
          </w:tcPr>
          <w:p w:rsidR="00C076E5" w:rsidRDefault="00C076E5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>
              <w:rPr>
                <w:rFonts w:ascii="Arial" w:hAnsi="Arial" w:cs="David" w:hint="cs"/>
                <w:sz w:val="21"/>
                <w:szCs w:val="21"/>
                <w:rtl/>
              </w:rPr>
              <w:t>עד ליום 31.12.2015 היה "מסלול כללי".</w:t>
            </w:r>
          </w:p>
          <w:p w:rsidR="00A21D4F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Pr="00207D5B" w:rsidRDefault="00A21D4F" w:rsidP="007D64C9">
            <w:pPr>
              <w:jc w:val="both"/>
              <w:rPr>
                <w:sz w:val="21"/>
                <w:szCs w:val="21"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בהתאם לקבוע בתקנון הקופה, נכסי </w:t>
            </w:r>
            <w:r w:rsidRPr="00207D5B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המסלול הכללי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 מושקעים על פי התפתחויות בשוק ההון, בהתאם לשיקול דעתה המקצועי של החברה המנהלת ובכפוף להנחיות הרלבנטיות בהסדר התחיקתי.</w:t>
            </w: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</w:rPr>
            </w:pP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מדיניות ההשקעה </w:t>
            </w:r>
            <w:r w:rsidRPr="00207D5B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במסלול המיועד לעמיתים בגיל 50 עד 60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 (רמת סיכון בינונית) דומה למדיניות ההשקעה </w:t>
            </w:r>
            <w:r w:rsidRPr="00207D5B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במסלול הכללי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.</w:t>
            </w: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גמישות ניהול השקעות דומה.</w:t>
            </w:r>
          </w:p>
        </w:tc>
      </w:tr>
      <w:tr w:rsidR="00A21D4F" w:rsidTr="005A3C0F">
        <w:tc>
          <w:tcPr>
            <w:tcW w:w="1483" w:type="dxa"/>
            <w:tcMar>
              <w:top w:w="28" w:type="dxa"/>
              <w:bottom w:w="28" w:type="dxa"/>
            </w:tcMar>
            <w:vAlign w:val="center"/>
          </w:tcPr>
          <w:p w:rsidR="00A21D4F" w:rsidRPr="0074489C" w:rsidRDefault="00EB3625" w:rsidP="00F1343B">
            <w:pPr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74489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74489C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74489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גיל 60 ומעלה</w:t>
            </w:r>
          </w:p>
        </w:tc>
        <w:tc>
          <w:tcPr>
            <w:tcW w:w="1778" w:type="dxa"/>
            <w:vMerge/>
            <w:tcMar>
              <w:top w:w="28" w:type="dxa"/>
              <w:bottom w:w="28" w:type="dxa"/>
            </w:tcMar>
            <w:vAlign w:val="center"/>
          </w:tcPr>
          <w:p w:rsidR="00A21D4F" w:rsidRPr="00207D5B" w:rsidRDefault="00A21D4F" w:rsidP="00F1343B">
            <w:pPr>
              <w:rPr>
                <w:rFonts w:ascii="Arial" w:hAnsi="Arial" w:cs="David"/>
                <w:sz w:val="21"/>
                <w:szCs w:val="21"/>
                <w:rtl/>
              </w:rPr>
            </w:pPr>
          </w:p>
        </w:tc>
        <w:tc>
          <w:tcPr>
            <w:tcW w:w="5812" w:type="dxa"/>
            <w:tcMar>
              <w:top w:w="28" w:type="dxa"/>
              <w:bottom w:w="28" w:type="dxa"/>
            </w:tcMar>
            <w:vAlign w:val="center"/>
          </w:tcPr>
          <w:p w:rsidR="00A21D4F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>
              <w:rPr>
                <w:rFonts w:ascii="Arial" w:hAnsi="Arial" w:cs="David" w:hint="cs"/>
                <w:sz w:val="21"/>
                <w:szCs w:val="21"/>
                <w:rtl/>
              </w:rPr>
              <w:t>עד ליום 31.12.2015 היה "מסלול ללא מניות".</w:t>
            </w:r>
          </w:p>
          <w:p w:rsidR="00A21D4F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בהתאם לקבוע בתקנון הקופה, נכסי </w:t>
            </w:r>
            <w:r w:rsidRPr="00207D5B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 xml:space="preserve">המסלול ללא מניות 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מושקעים למדיניות הדירקטוריון והחלטות ועדת השקעות, בהתייחס להתפתחויות בשוק ההון, ובמסלול זה אין השקעה במניות ו/או אופציות ו/או ניירות ערך </w:t>
            </w:r>
            <w:proofErr w:type="spellStart"/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המירים</w:t>
            </w:r>
            <w:proofErr w:type="spellEnd"/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 ו/או בקרנות נאמנות המתמחות בהשקעות כאמור, וכפוף להנחיות הרלבנטיות בהסדר התחיקתי.</w:t>
            </w: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מדיניות ההשקעה במסלול לעמיתים בגיל 60 + (רמת סיכון בינונית-נמוכה) דומה למדיניות ההשקעה </w:t>
            </w:r>
            <w:r w:rsidRPr="00207D5B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במסלול ללא מניות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 אולם במסלול המיועד לעמיתים בגיל 60 + ניתן </w:t>
            </w:r>
            <w:r>
              <w:rPr>
                <w:rFonts w:ascii="Arial" w:hAnsi="Arial" w:cs="David" w:hint="cs"/>
                <w:sz w:val="21"/>
                <w:szCs w:val="21"/>
                <w:rtl/>
              </w:rPr>
              <w:t xml:space="preserve">יהיה 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>להשקיע במניות.</w:t>
            </w:r>
          </w:p>
          <w:p w:rsidR="00A21D4F" w:rsidRPr="00207D5B" w:rsidRDefault="00A21D4F" w:rsidP="007D64C9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</w:p>
          <w:p w:rsidR="00A21D4F" w:rsidRPr="00207D5B" w:rsidRDefault="00A21D4F" w:rsidP="00CC2733">
            <w:pPr>
              <w:jc w:val="both"/>
              <w:rPr>
                <w:rFonts w:ascii="Arial" w:hAnsi="Arial" w:cs="David"/>
                <w:sz w:val="21"/>
                <w:szCs w:val="21"/>
                <w:rtl/>
              </w:rPr>
            </w:pP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גמישות ניהול ההשקעות במסלול </w:t>
            </w:r>
            <w:r w:rsidR="00C75CB6">
              <w:rPr>
                <w:rFonts w:ascii="Arial" w:hAnsi="Arial" w:cs="David" w:hint="cs"/>
                <w:sz w:val="21"/>
                <w:szCs w:val="21"/>
                <w:rtl/>
              </w:rPr>
              <w:t>עו</w:t>
            </w:r>
            <w:r w:rsidR="00C75CB6">
              <w:rPr>
                <w:rFonts w:ascii="Arial" w:hAnsi="Arial" w:cs="David"/>
                <w:sz w:val="21"/>
                <w:szCs w:val="21"/>
                <w:rtl/>
              </w:rPr>
              <w:t>"</w:t>
            </w:r>
            <w:r w:rsidR="00C75CB6">
              <w:rPr>
                <w:rFonts w:ascii="Arial" w:hAnsi="Arial" w:cs="David" w:hint="cs"/>
                <w:sz w:val="21"/>
                <w:szCs w:val="21"/>
                <w:rtl/>
              </w:rPr>
              <w:t>ס</w:t>
            </w:r>
            <w:r w:rsidRPr="00207D5B">
              <w:rPr>
                <w:rFonts w:ascii="Arial" w:hAnsi="Arial" w:cs="David" w:hint="cs"/>
                <w:sz w:val="21"/>
                <w:szCs w:val="21"/>
                <w:rtl/>
              </w:rPr>
              <w:t xml:space="preserve"> גמל גיל 60 + תהיה גבוהה מזו הקיימת במסלול ללא מניות, שכן במסלול גיל 60 + תיתכן השקעה במניות.</w:t>
            </w:r>
          </w:p>
        </w:tc>
      </w:tr>
    </w:tbl>
    <w:p w:rsidR="005D162C" w:rsidRDefault="005D162C" w:rsidP="006A6025">
      <w:pPr>
        <w:spacing w:line="360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6130FB" w:rsidRDefault="006130FB" w:rsidP="006A6025">
      <w:pPr>
        <w:spacing w:line="360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5D162C" w:rsidRPr="006130FB" w:rsidRDefault="00EF3849" w:rsidP="00207D5B">
      <w:pPr>
        <w:rPr>
          <w:rFonts w:ascii="Arial" w:hAnsi="Arial" w:cs="David"/>
          <w:b/>
          <w:bCs/>
          <w:rtl/>
        </w:rPr>
      </w:pPr>
      <w:r w:rsidRPr="006130FB">
        <w:rPr>
          <w:rFonts w:ascii="Arial" w:hAnsi="Arial" w:cs="David" w:hint="cs"/>
          <w:b/>
          <w:bCs/>
          <w:rtl/>
        </w:rPr>
        <w:t>מדיניות השקעות צפויה לשנת 2016</w:t>
      </w:r>
      <w:r w:rsidR="002B46EA" w:rsidRPr="006130FB">
        <w:rPr>
          <w:rFonts w:ascii="Arial" w:hAnsi="Arial" w:cs="David" w:hint="cs"/>
          <w:b/>
          <w:bCs/>
          <w:rtl/>
        </w:rPr>
        <w:t xml:space="preserve"> מול תמהיל ההשקעות בפועל לפני השינוי</w:t>
      </w:r>
      <w:r w:rsidR="005B5ECF" w:rsidRPr="006130FB">
        <w:rPr>
          <w:rFonts w:ascii="Arial" w:hAnsi="Arial" w:cs="David" w:hint="cs"/>
          <w:b/>
          <w:bCs/>
          <w:rtl/>
        </w:rPr>
        <w:t xml:space="preserve">: </w:t>
      </w:r>
    </w:p>
    <w:tbl>
      <w:tblPr>
        <w:tblStyle w:val="ae"/>
        <w:bidiVisual/>
        <w:tblW w:w="0" w:type="auto"/>
        <w:tblInd w:w="-629" w:type="dxa"/>
        <w:tblLook w:val="04A0" w:firstRow="1" w:lastRow="0" w:firstColumn="1" w:lastColumn="0" w:noHBand="0" w:noVBand="1"/>
      </w:tblPr>
      <w:tblGrid>
        <w:gridCol w:w="3396"/>
        <w:gridCol w:w="1845"/>
        <w:gridCol w:w="1845"/>
        <w:gridCol w:w="1845"/>
      </w:tblGrid>
      <w:tr w:rsidR="00A21D4F" w:rsidTr="00D31273">
        <w:tc>
          <w:tcPr>
            <w:tcW w:w="3396" w:type="dxa"/>
            <w:shd w:val="clear" w:color="auto" w:fill="FDE9D9" w:themeFill="accent6" w:themeFillTint="33"/>
            <w:tcMar>
              <w:top w:w="28" w:type="dxa"/>
              <w:bottom w:w="28" w:type="dxa"/>
            </w:tcMar>
          </w:tcPr>
          <w:p w:rsidR="00A21D4F" w:rsidRPr="005A3C0F" w:rsidRDefault="00A21D4F" w:rsidP="00EF3849">
            <w:pPr>
              <w:jc w:val="center"/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שם</w:t>
            </w:r>
            <w:r w:rsidRPr="00F04D09">
              <w:rPr>
                <w:rFonts w:ascii="Arial" w:hAnsi="Arial" w:cs="David"/>
                <w:b/>
                <w:bCs/>
                <w:sz w:val="21"/>
                <w:szCs w:val="21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המסלול</w:t>
            </w:r>
          </w:p>
        </w:tc>
        <w:tc>
          <w:tcPr>
            <w:tcW w:w="1845" w:type="dxa"/>
            <w:shd w:val="clear" w:color="auto" w:fill="FDE9D9" w:themeFill="accent6" w:themeFillTint="33"/>
            <w:tcMar>
              <w:top w:w="28" w:type="dxa"/>
              <w:bottom w:w="28" w:type="dxa"/>
            </w:tcMar>
          </w:tcPr>
          <w:p w:rsidR="00A21D4F" w:rsidRPr="00F04D09" w:rsidRDefault="00A21D4F" w:rsidP="00D80C29">
            <w:pPr>
              <w:jc w:val="center"/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אפיק</w:t>
            </w:r>
          </w:p>
        </w:tc>
        <w:tc>
          <w:tcPr>
            <w:tcW w:w="1845" w:type="dxa"/>
            <w:shd w:val="clear" w:color="auto" w:fill="FDE9D9" w:themeFill="accent6" w:themeFillTint="33"/>
          </w:tcPr>
          <w:p w:rsidR="00A21D4F" w:rsidRPr="00F04D09" w:rsidRDefault="00A21D4F" w:rsidP="00D80C29">
            <w:pPr>
              <w:jc w:val="center"/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חשיפה</w:t>
            </w:r>
            <w:r w:rsidRPr="00F04D09">
              <w:rPr>
                <w:rFonts w:ascii="Arial" w:hAnsi="Arial" w:cs="David"/>
                <w:b/>
                <w:bCs/>
                <w:sz w:val="21"/>
                <w:szCs w:val="21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צפויה</w:t>
            </w:r>
            <w:r w:rsidRPr="00F04D09">
              <w:rPr>
                <w:rFonts w:ascii="Arial" w:hAnsi="Arial" w:cs="David"/>
                <w:b/>
                <w:bCs/>
                <w:sz w:val="21"/>
                <w:szCs w:val="21"/>
                <w:rtl/>
              </w:rPr>
              <w:t xml:space="preserve"> 2016 </w:t>
            </w: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וטווח</w:t>
            </w:r>
            <w:r w:rsidRPr="00F04D09">
              <w:rPr>
                <w:rFonts w:ascii="Arial" w:hAnsi="Arial" w:cs="David"/>
                <w:b/>
                <w:bCs/>
                <w:sz w:val="21"/>
                <w:szCs w:val="21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1"/>
                <w:szCs w:val="21"/>
                <w:rtl/>
              </w:rPr>
              <w:t>סטייה</w:t>
            </w:r>
          </w:p>
        </w:tc>
        <w:tc>
          <w:tcPr>
            <w:tcW w:w="1845" w:type="dxa"/>
            <w:shd w:val="clear" w:color="auto" w:fill="FDE9D9" w:themeFill="accent6" w:themeFillTint="33"/>
          </w:tcPr>
          <w:p w:rsidR="00A21D4F" w:rsidRPr="00A21D4F" w:rsidRDefault="00A21D4F" w:rsidP="005A3C0F">
            <w:pPr>
              <w:jc w:val="center"/>
              <w:rPr>
                <w:rFonts w:ascii="Arial" w:hAnsi="Arial" w:cs="David"/>
                <w:b/>
                <w:bCs/>
                <w:sz w:val="21"/>
                <w:szCs w:val="21"/>
                <w:rtl/>
              </w:rPr>
            </w:pPr>
            <w:r w:rsidRPr="00A21D4F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 xml:space="preserve">חשיפה בפועל </w:t>
            </w:r>
            <w:r w:rsidR="003F4667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30</w:t>
            </w:r>
            <w:r w:rsidRPr="00A21D4F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.</w:t>
            </w:r>
            <w:r w:rsidR="003F4667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9</w:t>
            </w:r>
            <w:r w:rsidRPr="00A21D4F">
              <w:rPr>
                <w:rFonts w:ascii="Arial" w:hAnsi="Arial" w:cs="David" w:hint="cs"/>
                <w:b/>
                <w:bCs/>
                <w:sz w:val="21"/>
                <w:szCs w:val="21"/>
                <w:rtl/>
              </w:rPr>
              <w:t>.2015</w:t>
            </w:r>
          </w:p>
        </w:tc>
      </w:tr>
      <w:tr w:rsidR="00B55168" w:rsidTr="00207D5B">
        <w:tc>
          <w:tcPr>
            <w:tcW w:w="339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EF38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B55168" w:rsidRPr="005A3C0F" w:rsidRDefault="00B55168" w:rsidP="00EF38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B55168" w:rsidRPr="005A3C0F" w:rsidRDefault="00B55168" w:rsidP="00EF38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2314BA" w:rsidRPr="00F04D09" w:rsidRDefault="002314BA" w:rsidP="00EF38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לבני 50 ומטה</w:t>
            </w:r>
            <w:r w:rsidRPr="005A3C0F" w:rsidDel="002314B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B55168" w:rsidRPr="00F04D09" w:rsidRDefault="00B55168" w:rsidP="00EF38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(מסלול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חדש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מניות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34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 (6% +/-)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>מסלול חדש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D55C1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אג"ח ממשלתי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30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(5% +/-)</w:t>
            </w:r>
          </w:p>
        </w:tc>
        <w:tc>
          <w:tcPr>
            <w:tcW w:w="1845" w:type="dxa"/>
            <w:vMerge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</w:tr>
      <w:tr w:rsidR="00B55168" w:rsidTr="00207D5B">
        <w:tc>
          <w:tcPr>
            <w:tcW w:w="33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D55C1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אג"ח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קונצרני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30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(6% +/-)</w:t>
            </w:r>
          </w:p>
        </w:tc>
        <w:tc>
          <w:tcPr>
            <w:tcW w:w="1845" w:type="dxa"/>
            <w:vMerge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</w:tr>
      <w:tr w:rsidR="00B55168" w:rsidTr="00207D5B">
        <w:tc>
          <w:tcPr>
            <w:tcW w:w="33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D55C1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אחר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(5% +/-)</w:t>
            </w:r>
          </w:p>
        </w:tc>
        <w:tc>
          <w:tcPr>
            <w:tcW w:w="1845" w:type="dxa"/>
            <w:vMerge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</w:tr>
      <w:tr w:rsidR="00B55168" w:rsidTr="00207D5B">
        <w:tc>
          <w:tcPr>
            <w:tcW w:w="33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D55C1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עו"ש,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פר"י</w:t>
            </w:r>
            <w:proofErr w:type="spellEnd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פק"מ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5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(5% +/-)</w:t>
            </w:r>
          </w:p>
        </w:tc>
        <w:tc>
          <w:tcPr>
            <w:tcW w:w="1845" w:type="dxa"/>
            <w:vMerge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</w:tr>
      <w:tr w:rsidR="00B55168" w:rsidTr="00207D5B">
        <w:tc>
          <w:tcPr>
            <w:tcW w:w="33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55168" w:rsidRPr="005A3C0F" w:rsidRDefault="00B55168" w:rsidP="00D55C1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חשיפה למט"ח</w:t>
            </w:r>
          </w:p>
          <w:p w:rsidR="0041751C" w:rsidRPr="00F04D09" w:rsidRDefault="0041751C" w:rsidP="002B46EA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</w:tcPr>
          <w:p w:rsidR="00B55168" w:rsidRPr="00F04D09" w:rsidRDefault="00D1777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18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(6% +/-)</w:t>
            </w:r>
          </w:p>
        </w:tc>
        <w:tc>
          <w:tcPr>
            <w:tcW w:w="1845" w:type="dxa"/>
            <w:vMerge/>
            <w:shd w:val="clear" w:color="auto" w:fill="auto"/>
          </w:tcPr>
          <w:p w:rsidR="00B55168" w:rsidRPr="00B55168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</w:tr>
      <w:tr w:rsidR="00B55168" w:rsidTr="00207D5B">
        <w:tc>
          <w:tcPr>
            <w:tcW w:w="3396" w:type="dxa"/>
            <w:vMerge w:val="restar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2314BA" w:rsidRPr="00F04D09" w:rsidRDefault="002314BA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לבני 50 עד 60</w:t>
            </w:r>
            <w:r w:rsidRPr="005A3C0F" w:rsidDel="002314B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B55168" w:rsidRPr="00F04D09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(עד 31.12.15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מסלול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כללי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מניות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28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 (6%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04671B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33.93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אג"ח ממשלתי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39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(5%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191FD5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23.3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אג"ח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קונצרני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27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(6%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35302F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40.81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אחר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(5%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35302F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0.19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עו"ש,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פר"י</w:t>
            </w:r>
            <w:proofErr w:type="spellEnd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פק"מ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5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(5%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35302F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1.77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חשיפה למט"ח</w:t>
            </w:r>
          </w:p>
          <w:p w:rsidR="0041751C" w:rsidRPr="00F04D09" w:rsidRDefault="0041751C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F04D09" w:rsidRDefault="00E96285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16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(6% +/-)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55168" w:rsidRPr="0035302F" w:rsidRDefault="0035302F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14.23</w:t>
            </w:r>
            <w:r w:rsidR="00B55168" w:rsidRPr="0035302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 w:val="restart"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B55168" w:rsidRPr="005A3C0F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:rsidR="002314BA" w:rsidRPr="00F04D09" w:rsidRDefault="002314BA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עו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"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ס</w:t>
            </w:r>
            <w:r w:rsidRPr="005A3C0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5A3C0F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גמל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גיל 60 ומעלה</w:t>
            </w:r>
            <w:r w:rsidRPr="005A3C0F" w:rsidDel="002314B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B55168" w:rsidRPr="00F04D09" w:rsidRDefault="00B55168" w:rsidP="00B5516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(עד 31.12.15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מסלול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ללא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F04D09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מניות</w:t>
            </w:r>
            <w:r w:rsidRPr="00F04D09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מניות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4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(6% +/-)</w:t>
            </w:r>
          </w:p>
        </w:tc>
        <w:tc>
          <w:tcPr>
            <w:tcW w:w="1845" w:type="dxa"/>
          </w:tcPr>
          <w:p w:rsidR="00B55168" w:rsidRPr="00F04D09" w:rsidRDefault="00BC191E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0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אג"ח ממשלתי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67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(5% +/-)</w:t>
            </w:r>
          </w:p>
        </w:tc>
        <w:tc>
          <w:tcPr>
            <w:tcW w:w="1845" w:type="dxa"/>
          </w:tcPr>
          <w:p w:rsidR="00B55168" w:rsidRPr="00F04D09" w:rsidRDefault="00BC191E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68.82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אג"ח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קונצרני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23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 (6% +/-)</w:t>
            </w:r>
          </w:p>
        </w:tc>
        <w:tc>
          <w:tcPr>
            <w:tcW w:w="1845" w:type="dxa"/>
          </w:tcPr>
          <w:p w:rsidR="00B55168" w:rsidRPr="00F04D09" w:rsidRDefault="00BC191E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24.1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אחר</w:t>
            </w:r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1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(5% +/-)</w:t>
            </w:r>
          </w:p>
        </w:tc>
        <w:tc>
          <w:tcPr>
            <w:tcW w:w="1845" w:type="dxa"/>
          </w:tcPr>
          <w:p w:rsidR="00B55168" w:rsidRPr="00F04D09" w:rsidRDefault="00BC191E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0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5A3C0F">
        <w:trPr>
          <w:trHeight w:val="20"/>
        </w:trPr>
        <w:tc>
          <w:tcPr>
            <w:tcW w:w="3396" w:type="dxa"/>
            <w:vMerge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עו"ש,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פר"י</w:t>
            </w:r>
            <w:proofErr w:type="spellEnd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פק"מ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5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(5% +/-)</w:t>
            </w:r>
          </w:p>
        </w:tc>
        <w:tc>
          <w:tcPr>
            <w:tcW w:w="1845" w:type="dxa"/>
          </w:tcPr>
          <w:p w:rsidR="00B55168" w:rsidRPr="00F04D09" w:rsidRDefault="00BC191E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7.08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B55168" w:rsidTr="00207D5B">
        <w:tc>
          <w:tcPr>
            <w:tcW w:w="3396" w:type="dxa"/>
            <w:vMerge/>
            <w:tcMar>
              <w:top w:w="28" w:type="dxa"/>
              <w:bottom w:w="28" w:type="dxa"/>
            </w:tcMar>
          </w:tcPr>
          <w:p w:rsidR="00B55168" w:rsidRPr="005A3C0F" w:rsidRDefault="00B55168" w:rsidP="00B55168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B55168" w:rsidRPr="00F04D09" w:rsidRDefault="00B5516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חשיפה למט"ח</w:t>
            </w:r>
          </w:p>
          <w:p w:rsidR="0041751C" w:rsidRPr="00F04D09" w:rsidRDefault="0041751C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5" w:type="dxa"/>
            <w:shd w:val="clear" w:color="auto" w:fill="auto"/>
          </w:tcPr>
          <w:p w:rsidR="00B55168" w:rsidRPr="00F04D09" w:rsidRDefault="00EB5108" w:rsidP="00B55168">
            <w:pPr>
              <w:jc w:val="center"/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8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 xml:space="preserve"> </w:t>
            </w:r>
            <w:r w:rsidR="0074489C">
              <w:rPr>
                <w:rFonts w:ascii="Aharoni" w:hAnsi="Aharoni" w:cs="Aharon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55168" w:rsidRPr="00F04D09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(6% +/-)</w:t>
            </w:r>
          </w:p>
        </w:tc>
        <w:tc>
          <w:tcPr>
            <w:tcW w:w="1845" w:type="dxa"/>
          </w:tcPr>
          <w:p w:rsidR="00B55168" w:rsidRPr="00F04D09" w:rsidRDefault="005E0874" w:rsidP="00B55168">
            <w:pPr>
              <w:jc w:val="center"/>
            </w:pPr>
            <w:r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0</w:t>
            </w:r>
            <w:r w:rsidR="00B55168" w:rsidRPr="005A3C0F">
              <w:rPr>
                <w:rFonts w:ascii="Aharoni" w:hAnsi="Aharoni" w:cs="Aharoni"/>
                <w:b/>
                <w:bCs/>
                <w:sz w:val="22"/>
                <w:szCs w:val="22"/>
                <w:rtl/>
              </w:rPr>
              <w:t>%</w:t>
            </w:r>
          </w:p>
        </w:tc>
      </w:tr>
    </w:tbl>
    <w:p w:rsidR="006130FB" w:rsidRDefault="006130FB" w:rsidP="006A6025">
      <w:pPr>
        <w:spacing w:line="360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5D162C" w:rsidRDefault="00497907" w:rsidP="006A6025">
      <w:pPr>
        <w:spacing w:line="360" w:lineRule="auto"/>
        <w:rPr>
          <w:rFonts w:ascii="Arial" w:hAnsi="Arial" w:cs="David"/>
          <w:b/>
          <w:bCs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מידע נוסף על מדיניות השקעות צפויה של הקופה ניתן למצוא באתר האינטרנט של החברה.</w:t>
      </w:r>
    </w:p>
    <w:sectPr w:rsidR="005D162C" w:rsidSect="009F7DB2">
      <w:pgSz w:w="11906" w:h="16838"/>
      <w:pgMar w:top="680" w:right="1797" w:bottom="79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6C" w:rsidRDefault="008E296C" w:rsidP="000C2792">
      <w:r>
        <w:separator/>
      </w:r>
    </w:p>
  </w:endnote>
  <w:endnote w:type="continuationSeparator" w:id="0">
    <w:p w:rsidR="008E296C" w:rsidRDefault="008E296C" w:rsidP="000C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6C" w:rsidRDefault="008E296C" w:rsidP="000C2792">
      <w:r>
        <w:separator/>
      </w:r>
    </w:p>
  </w:footnote>
  <w:footnote w:type="continuationSeparator" w:id="0">
    <w:p w:rsidR="008E296C" w:rsidRDefault="008E296C" w:rsidP="000C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720"/>
    <w:multiLevelType w:val="hybridMultilevel"/>
    <w:tmpl w:val="C106925C"/>
    <w:lvl w:ilvl="0" w:tplc="8222E460">
      <w:start w:val="3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067D"/>
    <w:multiLevelType w:val="hybridMultilevel"/>
    <w:tmpl w:val="3B9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F1DB7"/>
    <w:multiLevelType w:val="hybridMultilevel"/>
    <w:tmpl w:val="70F6054C"/>
    <w:lvl w:ilvl="0" w:tplc="05CEF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074D3"/>
    <w:multiLevelType w:val="hybridMultilevel"/>
    <w:tmpl w:val="20224080"/>
    <w:lvl w:ilvl="0" w:tplc="FFFFFFFF">
      <w:start w:val="1"/>
      <w:numFmt w:val="decimal"/>
      <w:pStyle w:val="4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u w:val="none"/>
      </w:rPr>
    </w:lvl>
    <w:lvl w:ilvl="1" w:tplc="FFFFFFFF">
      <w:start w:val="1"/>
      <w:numFmt w:val="koreanLegal"/>
      <w:lvlText w:val="%2."/>
      <w:lvlJc w:val="center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right="198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 w:tplc="FFFFFFFF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3960"/>
        </w:tabs>
        <w:ind w:left="3960" w:righ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5A4A0B8F"/>
    <w:multiLevelType w:val="hybridMultilevel"/>
    <w:tmpl w:val="33F6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E12F7"/>
    <w:multiLevelType w:val="hybridMultilevel"/>
    <w:tmpl w:val="6186B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79"/>
    <w:rsid w:val="00002CA8"/>
    <w:rsid w:val="00022C0C"/>
    <w:rsid w:val="00031E4E"/>
    <w:rsid w:val="0004671B"/>
    <w:rsid w:val="00052F15"/>
    <w:rsid w:val="0007648D"/>
    <w:rsid w:val="0008374D"/>
    <w:rsid w:val="00083BCB"/>
    <w:rsid w:val="000865D3"/>
    <w:rsid w:val="00097BF2"/>
    <w:rsid w:val="000B10AB"/>
    <w:rsid w:val="000B402F"/>
    <w:rsid w:val="000B4ED3"/>
    <w:rsid w:val="000C2792"/>
    <w:rsid w:val="000C7526"/>
    <w:rsid w:val="000F3DBF"/>
    <w:rsid w:val="001008C4"/>
    <w:rsid w:val="00140FBE"/>
    <w:rsid w:val="00144B58"/>
    <w:rsid w:val="00146300"/>
    <w:rsid w:val="00152BCF"/>
    <w:rsid w:val="00161E61"/>
    <w:rsid w:val="00180940"/>
    <w:rsid w:val="0018422A"/>
    <w:rsid w:val="001909CB"/>
    <w:rsid w:val="00191FD5"/>
    <w:rsid w:val="001A041F"/>
    <w:rsid w:val="001A4A05"/>
    <w:rsid w:val="001D202D"/>
    <w:rsid w:val="00207D5B"/>
    <w:rsid w:val="00223490"/>
    <w:rsid w:val="002314BA"/>
    <w:rsid w:val="002374B6"/>
    <w:rsid w:val="00237909"/>
    <w:rsid w:val="00240EF0"/>
    <w:rsid w:val="002558A3"/>
    <w:rsid w:val="00257EAF"/>
    <w:rsid w:val="00277073"/>
    <w:rsid w:val="00277786"/>
    <w:rsid w:val="002930B3"/>
    <w:rsid w:val="002930DE"/>
    <w:rsid w:val="002A1A8A"/>
    <w:rsid w:val="002B46EA"/>
    <w:rsid w:val="002D679C"/>
    <w:rsid w:val="002D7D8B"/>
    <w:rsid w:val="002E0EE0"/>
    <w:rsid w:val="002F20FD"/>
    <w:rsid w:val="002F5107"/>
    <w:rsid w:val="0030085F"/>
    <w:rsid w:val="00307F65"/>
    <w:rsid w:val="00330F24"/>
    <w:rsid w:val="00332371"/>
    <w:rsid w:val="003374B0"/>
    <w:rsid w:val="00352CB0"/>
    <w:rsid w:val="00352E74"/>
    <w:rsid w:val="0035302F"/>
    <w:rsid w:val="00360EF9"/>
    <w:rsid w:val="00364E0D"/>
    <w:rsid w:val="0039128C"/>
    <w:rsid w:val="00393ED0"/>
    <w:rsid w:val="003A0974"/>
    <w:rsid w:val="003B22AE"/>
    <w:rsid w:val="003E4AE0"/>
    <w:rsid w:val="003E4E6B"/>
    <w:rsid w:val="003F4667"/>
    <w:rsid w:val="003F4877"/>
    <w:rsid w:val="00414808"/>
    <w:rsid w:val="0041751C"/>
    <w:rsid w:val="004448C0"/>
    <w:rsid w:val="0045209D"/>
    <w:rsid w:val="0046499B"/>
    <w:rsid w:val="00476B7C"/>
    <w:rsid w:val="00491DDC"/>
    <w:rsid w:val="004965B4"/>
    <w:rsid w:val="00497907"/>
    <w:rsid w:val="004B398F"/>
    <w:rsid w:val="004C6F7A"/>
    <w:rsid w:val="004D0DF5"/>
    <w:rsid w:val="004E35C7"/>
    <w:rsid w:val="004F1CD1"/>
    <w:rsid w:val="00510B07"/>
    <w:rsid w:val="00512A44"/>
    <w:rsid w:val="00527AAC"/>
    <w:rsid w:val="00532EEA"/>
    <w:rsid w:val="00536C10"/>
    <w:rsid w:val="005463F2"/>
    <w:rsid w:val="0054691F"/>
    <w:rsid w:val="005653B0"/>
    <w:rsid w:val="005737F7"/>
    <w:rsid w:val="005846D1"/>
    <w:rsid w:val="00587494"/>
    <w:rsid w:val="00597E79"/>
    <w:rsid w:val="005A2818"/>
    <w:rsid w:val="005A3C0F"/>
    <w:rsid w:val="005B1C0B"/>
    <w:rsid w:val="005B5ECF"/>
    <w:rsid w:val="005B73DF"/>
    <w:rsid w:val="005D162C"/>
    <w:rsid w:val="005D199F"/>
    <w:rsid w:val="005E0874"/>
    <w:rsid w:val="005E1352"/>
    <w:rsid w:val="006130FB"/>
    <w:rsid w:val="00635978"/>
    <w:rsid w:val="00641A60"/>
    <w:rsid w:val="00643F30"/>
    <w:rsid w:val="00667663"/>
    <w:rsid w:val="00667E3B"/>
    <w:rsid w:val="00677764"/>
    <w:rsid w:val="00682710"/>
    <w:rsid w:val="00686F38"/>
    <w:rsid w:val="006935F4"/>
    <w:rsid w:val="006A1DEE"/>
    <w:rsid w:val="006A4E6C"/>
    <w:rsid w:val="006A6025"/>
    <w:rsid w:val="006C744D"/>
    <w:rsid w:val="006F161B"/>
    <w:rsid w:val="006F57AA"/>
    <w:rsid w:val="006F63C0"/>
    <w:rsid w:val="007060EE"/>
    <w:rsid w:val="007062CD"/>
    <w:rsid w:val="007131BA"/>
    <w:rsid w:val="00725C44"/>
    <w:rsid w:val="00732CFF"/>
    <w:rsid w:val="0074489C"/>
    <w:rsid w:val="0075697E"/>
    <w:rsid w:val="00775FB3"/>
    <w:rsid w:val="0078600B"/>
    <w:rsid w:val="00787D0E"/>
    <w:rsid w:val="00791AC4"/>
    <w:rsid w:val="0079613E"/>
    <w:rsid w:val="007C6887"/>
    <w:rsid w:val="007D64C9"/>
    <w:rsid w:val="007E7A12"/>
    <w:rsid w:val="007F43DD"/>
    <w:rsid w:val="007F70F3"/>
    <w:rsid w:val="00803D54"/>
    <w:rsid w:val="00810B83"/>
    <w:rsid w:val="0082020F"/>
    <w:rsid w:val="008300A1"/>
    <w:rsid w:val="00836B02"/>
    <w:rsid w:val="00850767"/>
    <w:rsid w:val="00851A13"/>
    <w:rsid w:val="00891A0A"/>
    <w:rsid w:val="008A7BBF"/>
    <w:rsid w:val="008C21AF"/>
    <w:rsid w:val="008C314B"/>
    <w:rsid w:val="008C67DC"/>
    <w:rsid w:val="008D1904"/>
    <w:rsid w:val="008D4421"/>
    <w:rsid w:val="008E296C"/>
    <w:rsid w:val="008F5FC2"/>
    <w:rsid w:val="008F6195"/>
    <w:rsid w:val="00925B32"/>
    <w:rsid w:val="00926472"/>
    <w:rsid w:val="00927A46"/>
    <w:rsid w:val="009342A8"/>
    <w:rsid w:val="0094260F"/>
    <w:rsid w:val="00943038"/>
    <w:rsid w:val="00952A9C"/>
    <w:rsid w:val="00972ECE"/>
    <w:rsid w:val="009803EE"/>
    <w:rsid w:val="00981B55"/>
    <w:rsid w:val="009838E7"/>
    <w:rsid w:val="00993077"/>
    <w:rsid w:val="009A16E2"/>
    <w:rsid w:val="009B6C25"/>
    <w:rsid w:val="009C6345"/>
    <w:rsid w:val="009C67F2"/>
    <w:rsid w:val="009E0B3A"/>
    <w:rsid w:val="009E0F2D"/>
    <w:rsid w:val="009F4361"/>
    <w:rsid w:val="009F7DB2"/>
    <w:rsid w:val="00A01B3F"/>
    <w:rsid w:val="00A15761"/>
    <w:rsid w:val="00A1591A"/>
    <w:rsid w:val="00A21D4F"/>
    <w:rsid w:val="00A33D20"/>
    <w:rsid w:val="00A4117D"/>
    <w:rsid w:val="00A43B22"/>
    <w:rsid w:val="00A453C2"/>
    <w:rsid w:val="00A6134B"/>
    <w:rsid w:val="00A71AC7"/>
    <w:rsid w:val="00A751C8"/>
    <w:rsid w:val="00A81FAA"/>
    <w:rsid w:val="00A969C3"/>
    <w:rsid w:val="00AB7D3E"/>
    <w:rsid w:val="00AC633B"/>
    <w:rsid w:val="00AD4DB6"/>
    <w:rsid w:val="00AF0FF5"/>
    <w:rsid w:val="00AF14D4"/>
    <w:rsid w:val="00B17F69"/>
    <w:rsid w:val="00B460D1"/>
    <w:rsid w:val="00B507DF"/>
    <w:rsid w:val="00B51F89"/>
    <w:rsid w:val="00B55168"/>
    <w:rsid w:val="00B96878"/>
    <w:rsid w:val="00B978E6"/>
    <w:rsid w:val="00BA210F"/>
    <w:rsid w:val="00BB186E"/>
    <w:rsid w:val="00BC191E"/>
    <w:rsid w:val="00BC6177"/>
    <w:rsid w:val="00BE79F7"/>
    <w:rsid w:val="00BE7E00"/>
    <w:rsid w:val="00C0194C"/>
    <w:rsid w:val="00C04AEB"/>
    <w:rsid w:val="00C076E5"/>
    <w:rsid w:val="00C121E3"/>
    <w:rsid w:val="00C12906"/>
    <w:rsid w:val="00C2351A"/>
    <w:rsid w:val="00C35338"/>
    <w:rsid w:val="00C624F3"/>
    <w:rsid w:val="00C629AA"/>
    <w:rsid w:val="00C65D2B"/>
    <w:rsid w:val="00C7008A"/>
    <w:rsid w:val="00C7215B"/>
    <w:rsid w:val="00C75CB6"/>
    <w:rsid w:val="00C87FD3"/>
    <w:rsid w:val="00CB1B60"/>
    <w:rsid w:val="00CB4F3A"/>
    <w:rsid w:val="00CB776F"/>
    <w:rsid w:val="00CC2733"/>
    <w:rsid w:val="00CC3F25"/>
    <w:rsid w:val="00CD1B44"/>
    <w:rsid w:val="00CE0250"/>
    <w:rsid w:val="00CE4F73"/>
    <w:rsid w:val="00CE64F2"/>
    <w:rsid w:val="00CF6D2F"/>
    <w:rsid w:val="00D0677C"/>
    <w:rsid w:val="00D1777B"/>
    <w:rsid w:val="00D55C18"/>
    <w:rsid w:val="00D80C29"/>
    <w:rsid w:val="00D81126"/>
    <w:rsid w:val="00D85E8E"/>
    <w:rsid w:val="00DB190F"/>
    <w:rsid w:val="00DB7EE6"/>
    <w:rsid w:val="00DC3DB3"/>
    <w:rsid w:val="00DC419F"/>
    <w:rsid w:val="00DF1B7B"/>
    <w:rsid w:val="00DF2DC2"/>
    <w:rsid w:val="00DF5FC9"/>
    <w:rsid w:val="00E03D1D"/>
    <w:rsid w:val="00E145CD"/>
    <w:rsid w:val="00E2626A"/>
    <w:rsid w:val="00E2651A"/>
    <w:rsid w:val="00E27126"/>
    <w:rsid w:val="00E35BDE"/>
    <w:rsid w:val="00E402D7"/>
    <w:rsid w:val="00E76BE1"/>
    <w:rsid w:val="00E83C34"/>
    <w:rsid w:val="00E92387"/>
    <w:rsid w:val="00E932F1"/>
    <w:rsid w:val="00E95E18"/>
    <w:rsid w:val="00E96285"/>
    <w:rsid w:val="00EB02CD"/>
    <w:rsid w:val="00EB23BF"/>
    <w:rsid w:val="00EB3625"/>
    <w:rsid w:val="00EB5108"/>
    <w:rsid w:val="00EB580C"/>
    <w:rsid w:val="00EE6F70"/>
    <w:rsid w:val="00EF3849"/>
    <w:rsid w:val="00F014C8"/>
    <w:rsid w:val="00F04D09"/>
    <w:rsid w:val="00F1343B"/>
    <w:rsid w:val="00F21046"/>
    <w:rsid w:val="00F33A2A"/>
    <w:rsid w:val="00F34188"/>
    <w:rsid w:val="00F42EA2"/>
    <w:rsid w:val="00F56BFE"/>
    <w:rsid w:val="00F65388"/>
    <w:rsid w:val="00F71DDF"/>
    <w:rsid w:val="00F76638"/>
    <w:rsid w:val="00F97880"/>
    <w:rsid w:val="00FA5D99"/>
    <w:rsid w:val="00FC080A"/>
    <w:rsid w:val="00FD2E34"/>
    <w:rsid w:val="00FD366E"/>
    <w:rsid w:val="00FD64F5"/>
    <w:rsid w:val="00FE483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87FD3"/>
    <w:pPr>
      <w:keepNext/>
      <w:numPr>
        <w:numId w:val="6"/>
      </w:numPr>
      <w:overflowPunct w:val="0"/>
      <w:autoSpaceDE w:val="0"/>
      <w:autoSpaceDN w:val="0"/>
      <w:adjustRightInd w:val="0"/>
      <w:ind w:right="0"/>
      <w:jc w:val="both"/>
      <w:textAlignment w:val="baseline"/>
      <w:outlineLvl w:val="3"/>
    </w:pPr>
    <w:rPr>
      <w:rFonts w:ascii="Narkisim" w:hAnsi="Narkisim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2"/>
    <w:pPr>
      <w:ind w:left="720"/>
      <w:contextualSpacing/>
    </w:pPr>
  </w:style>
  <w:style w:type="paragraph" w:styleId="a4">
    <w:name w:val="Block Text"/>
    <w:basedOn w:val="a"/>
    <w:rsid w:val="000C2792"/>
    <w:pPr>
      <w:ind w:left="1826" w:right="1620"/>
      <w:jc w:val="center"/>
    </w:pPr>
    <w:rPr>
      <w:sz w:val="22"/>
      <w:szCs w:val="22"/>
      <w:lang w:eastAsia="he-IL"/>
    </w:rPr>
  </w:style>
  <w:style w:type="paragraph" w:styleId="a5">
    <w:name w:val="Balloon Text"/>
    <w:basedOn w:val="a"/>
    <w:link w:val="a6"/>
    <w:rsid w:val="000C27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0C27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C279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0C2792"/>
    <w:rPr>
      <w:sz w:val="24"/>
      <w:szCs w:val="24"/>
    </w:rPr>
  </w:style>
  <w:style w:type="paragraph" w:styleId="a9">
    <w:name w:val="footer"/>
    <w:basedOn w:val="a"/>
    <w:link w:val="aa"/>
    <w:rsid w:val="000C2792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0C2792"/>
    <w:rPr>
      <w:sz w:val="24"/>
      <w:szCs w:val="24"/>
    </w:rPr>
  </w:style>
  <w:style w:type="paragraph" w:styleId="ab">
    <w:name w:val="footnote text"/>
    <w:basedOn w:val="a"/>
    <w:link w:val="ac"/>
    <w:unhideWhenUsed/>
    <w:rsid w:val="0078600B"/>
    <w:rPr>
      <w:sz w:val="20"/>
      <w:szCs w:val="20"/>
    </w:rPr>
  </w:style>
  <w:style w:type="character" w:customStyle="1" w:styleId="ac">
    <w:name w:val="טקסט הערת שוליים תו"/>
    <w:basedOn w:val="a0"/>
    <w:link w:val="ab"/>
    <w:rsid w:val="0078600B"/>
  </w:style>
  <w:style w:type="character" w:styleId="ad">
    <w:name w:val="footnote reference"/>
    <w:basedOn w:val="a0"/>
    <w:semiHidden/>
    <w:unhideWhenUsed/>
    <w:rsid w:val="0078600B"/>
    <w:rPr>
      <w:vertAlign w:val="superscript"/>
    </w:rPr>
  </w:style>
  <w:style w:type="table" w:styleId="ae">
    <w:name w:val="Table Grid"/>
    <w:basedOn w:val="a1"/>
    <w:rsid w:val="005D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5D199F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rsid w:val="00C87FD3"/>
    <w:rPr>
      <w:rFonts w:ascii="Narkisim" w:hAnsi="Narkisim" w:cs="David"/>
      <w:b/>
      <w:bCs/>
      <w:sz w:val="24"/>
      <w:szCs w:val="24"/>
      <w:u w:val="single"/>
    </w:rPr>
  </w:style>
  <w:style w:type="paragraph" w:styleId="af">
    <w:name w:val="Body Text Indent"/>
    <w:basedOn w:val="a"/>
    <w:link w:val="af0"/>
    <w:rsid w:val="00C87FD3"/>
    <w:pPr>
      <w:spacing w:after="120"/>
      <w:ind w:left="360"/>
    </w:pPr>
    <w:rPr>
      <w:rFonts w:cs="David"/>
      <w:color w:val="000000"/>
    </w:rPr>
  </w:style>
  <w:style w:type="character" w:customStyle="1" w:styleId="af0">
    <w:name w:val="כניסה בגוף טקסט תו"/>
    <w:basedOn w:val="a0"/>
    <w:link w:val="af"/>
    <w:rsid w:val="00C87FD3"/>
    <w:rPr>
      <w:rFonts w:cs="Davi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87FD3"/>
    <w:pPr>
      <w:keepNext/>
      <w:numPr>
        <w:numId w:val="6"/>
      </w:numPr>
      <w:overflowPunct w:val="0"/>
      <w:autoSpaceDE w:val="0"/>
      <w:autoSpaceDN w:val="0"/>
      <w:adjustRightInd w:val="0"/>
      <w:ind w:right="0"/>
      <w:jc w:val="both"/>
      <w:textAlignment w:val="baseline"/>
      <w:outlineLvl w:val="3"/>
    </w:pPr>
    <w:rPr>
      <w:rFonts w:ascii="Narkisim" w:hAnsi="Narkisim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92"/>
    <w:pPr>
      <w:ind w:left="720"/>
      <w:contextualSpacing/>
    </w:pPr>
  </w:style>
  <w:style w:type="paragraph" w:styleId="a4">
    <w:name w:val="Block Text"/>
    <w:basedOn w:val="a"/>
    <w:rsid w:val="000C2792"/>
    <w:pPr>
      <w:ind w:left="1826" w:right="1620"/>
      <w:jc w:val="center"/>
    </w:pPr>
    <w:rPr>
      <w:sz w:val="22"/>
      <w:szCs w:val="22"/>
      <w:lang w:eastAsia="he-IL"/>
    </w:rPr>
  </w:style>
  <w:style w:type="paragraph" w:styleId="a5">
    <w:name w:val="Balloon Text"/>
    <w:basedOn w:val="a"/>
    <w:link w:val="a6"/>
    <w:rsid w:val="000C27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0C27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C279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0C2792"/>
    <w:rPr>
      <w:sz w:val="24"/>
      <w:szCs w:val="24"/>
    </w:rPr>
  </w:style>
  <w:style w:type="paragraph" w:styleId="a9">
    <w:name w:val="footer"/>
    <w:basedOn w:val="a"/>
    <w:link w:val="aa"/>
    <w:rsid w:val="000C2792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0C2792"/>
    <w:rPr>
      <w:sz w:val="24"/>
      <w:szCs w:val="24"/>
    </w:rPr>
  </w:style>
  <w:style w:type="paragraph" w:styleId="ab">
    <w:name w:val="footnote text"/>
    <w:basedOn w:val="a"/>
    <w:link w:val="ac"/>
    <w:unhideWhenUsed/>
    <w:rsid w:val="0078600B"/>
    <w:rPr>
      <w:sz w:val="20"/>
      <w:szCs w:val="20"/>
    </w:rPr>
  </w:style>
  <w:style w:type="character" w:customStyle="1" w:styleId="ac">
    <w:name w:val="טקסט הערת שוליים תו"/>
    <w:basedOn w:val="a0"/>
    <w:link w:val="ab"/>
    <w:rsid w:val="0078600B"/>
  </w:style>
  <w:style w:type="character" w:styleId="ad">
    <w:name w:val="footnote reference"/>
    <w:basedOn w:val="a0"/>
    <w:semiHidden/>
    <w:unhideWhenUsed/>
    <w:rsid w:val="0078600B"/>
    <w:rPr>
      <w:vertAlign w:val="superscript"/>
    </w:rPr>
  </w:style>
  <w:style w:type="table" w:styleId="ae">
    <w:name w:val="Table Grid"/>
    <w:basedOn w:val="a1"/>
    <w:rsid w:val="005D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5D199F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rsid w:val="00C87FD3"/>
    <w:rPr>
      <w:rFonts w:ascii="Narkisim" w:hAnsi="Narkisim" w:cs="David"/>
      <w:b/>
      <w:bCs/>
      <w:sz w:val="24"/>
      <w:szCs w:val="24"/>
      <w:u w:val="single"/>
    </w:rPr>
  </w:style>
  <w:style w:type="paragraph" w:styleId="af">
    <w:name w:val="Body Text Indent"/>
    <w:basedOn w:val="a"/>
    <w:link w:val="af0"/>
    <w:rsid w:val="00C87FD3"/>
    <w:pPr>
      <w:spacing w:after="120"/>
      <w:ind w:left="360"/>
    </w:pPr>
    <w:rPr>
      <w:rFonts w:cs="David"/>
      <w:color w:val="000000"/>
    </w:rPr>
  </w:style>
  <w:style w:type="character" w:customStyle="1" w:styleId="af0">
    <w:name w:val="כניסה בגוף טקסט תו"/>
    <w:basedOn w:val="a0"/>
    <w:link w:val="af"/>
    <w:rsid w:val="00C87FD3"/>
    <w:rPr>
      <w:rFonts w:cs="Davi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0FD6-8F44-4A64-BEDA-70332A54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Mataf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U190551</dc:creator>
  <cp:lastModifiedBy>u128821</cp:lastModifiedBy>
  <cp:revision>3</cp:revision>
  <cp:lastPrinted>2013-05-16T07:32:00Z</cp:lastPrinted>
  <dcterms:created xsi:type="dcterms:W3CDTF">2015-11-10T16:25:00Z</dcterms:created>
  <dcterms:modified xsi:type="dcterms:W3CDTF">2015-11-12T12:50:00Z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